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AEE" w:rsidRPr="00A67AEE" w:rsidRDefault="00A67AEE" w:rsidP="00A67AEE">
      <w:pPr>
        <w:pStyle w:val="Textoindependiente"/>
        <w:widowControl w:val="0"/>
        <w:tabs>
          <w:tab w:val="left" w:pos="2410"/>
          <w:tab w:val="left" w:pos="3544"/>
          <w:tab w:val="left" w:pos="5954"/>
          <w:tab w:val="left" w:pos="6946"/>
        </w:tabs>
        <w:suppressAutoHyphens/>
        <w:spacing w:after="0" w:line="240" w:lineRule="auto"/>
        <w:ind w:left="3402" w:right="2551" w:hanging="992"/>
        <w:jc w:val="both"/>
        <w:rPr>
          <w:rFonts w:ascii="Tahoma" w:hAnsi="Tahoma" w:cs="Tahoma"/>
          <w:i/>
          <w:sz w:val="20"/>
          <w:szCs w:val="20"/>
          <w:lang w:val="es-PE"/>
        </w:rPr>
      </w:pPr>
      <w:r w:rsidRPr="00A67AEE">
        <w:rPr>
          <w:rFonts w:ascii="Tahoma" w:hAnsi="Tahoma" w:cs="Tahoma"/>
          <w:b/>
          <w:i/>
          <w:sz w:val="20"/>
          <w:szCs w:val="20"/>
        </w:rPr>
        <w:t>Sumilla:</w:t>
      </w:r>
      <w:r>
        <w:rPr>
          <w:rFonts w:ascii="Tahoma" w:hAnsi="Tahoma" w:cs="Tahoma"/>
          <w:b/>
          <w:i/>
          <w:sz w:val="20"/>
          <w:szCs w:val="20"/>
        </w:rPr>
        <w:t xml:space="preserve"> </w:t>
      </w:r>
      <w:r w:rsidRPr="00A67AEE">
        <w:rPr>
          <w:rFonts w:ascii="Tahoma" w:hAnsi="Tahoma" w:cs="Tahoma"/>
          <w:i/>
          <w:sz w:val="20"/>
          <w:szCs w:val="20"/>
        </w:rPr>
        <w:t xml:space="preserve">Para la configuración del supuesto de presentación de documentación falsa, se requiere acreditar </w:t>
      </w:r>
      <w:r w:rsidR="00F46784">
        <w:rPr>
          <w:rFonts w:ascii="Tahoma" w:hAnsi="Tahoma" w:cs="Tahoma"/>
          <w:i/>
          <w:sz w:val="20"/>
          <w:szCs w:val="20"/>
        </w:rPr>
        <w:t>la</w:t>
      </w:r>
      <w:r w:rsidRPr="00A67AEE">
        <w:rPr>
          <w:rFonts w:ascii="Tahoma" w:hAnsi="Tahoma" w:cs="Tahoma"/>
          <w:i/>
          <w:sz w:val="20"/>
          <w:szCs w:val="20"/>
        </w:rPr>
        <w:t xml:space="preserve"> falsedad, esto es que el documento </w:t>
      </w:r>
      <w:r>
        <w:rPr>
          <w:rFonts w:ascii="Tahoma" w:hAnsi="Tahoma" w:cs="Tahoma"/>
          <w:i/>
          <w:sz w:val="20"/>
          <w:szCs w:val="20"/>
        </w:rPr>
        <w:t>cuestionado no haya sido válidamente expedido</w:t>
      </w:r>
      <w:r w:rsidRPr="00A67AEE">
        <w:rPr>
          <w:rFonts w:ascii="Tahoma" w:hAnsi="Tahoma" w:cs="Tahoma"/>
          <w:i/>
          <w:sz w:val="20"/>
          <w:szCs w:val="20"/>
        </w:rPr>
        <w:t xml:space="preserve"> por el órgano o agente emisor o q</w:t>
      </w:r>
      <w:r>
        <w:rPr>
          <w:rFonts w:ascii="Tahoma" w:hAnsi="Tahoma" w:cs="Tahoma"/>
          <w:i/>
          <w:sz w:val="20"/>
          <w:szCs w:val="20"/>
        </w:rPr>
        <w:t xml:space="preserve">ue, siendo válidamente expedido, haya sido adulterado </w:t>
      </w:r>
      <w:r w:rsidRPr="00A67AEE">
        <w:rPr>
          <w:rFonts w:ascii="Tahoma" w:hAnsi="Tahoma" w:cs="Tahoma"/>
          <w:i/>
          <w:sz w:val="20"/>
          <w:szCs w:val="20"/>
        </w:rPr>
        <w:t>en su contenido.</w:t>
      </w:r>
    </w:p>
    <w:p w:rsidR="00A67AEE" w:rsidRPr="00A67AEE" w:rsidRDefault="00A67AEE" w:rsidP="00A67AEE">
      <w:pPr>
        <w:pStyle w:val="Textoindependiente3"/>
        <w:spacing w:after="0"/>
        <w:ind w:left="4248" w:right="179" w:firstLine="708"/>
        <w:jc w:val="both"/>
        <w:rPr>
          <w:rFonts w:ascii="Tahoma" w:hAnsi="Tahoma" w:cs="Tahoma"/>
          <w:b/>
          <w:sz w:val="20"/>
          <w:szCs w:val="20"/>
        </w:rPr>
      </w:pPr>
    </w:p>
    <w:p w:rsidR="00A67AEE" w:rsidRPr="00A67AEE" w:rsidRDefault="00A67AEE" w:rsidP="00A67AEE">
      <w:pPr>
        <w:pStyle w:val="Textoindependiente3"/>
        <w:spacing w:after="0"/>
        <w:ind w:left="4248" w:right="179" w:firstLine="708"/>
        <w:jc w:val="both"/>
        <w:rPr>
          <w:rFonts w:ascii="Tahoma" w:hAnsi="Tahoma" w:cs="Tahoma"/>
          <w:sz w:val="20"/>
          <w:szCs w:val="20"/>
        </w:rPr>
      </w:pPr>
      <w:r w:rsidRPr="00A67AEE">
        <w:rPr>
          <w:rFonts w:ascii="Tahoma" w:hAnsi="Tahoma" w:cs="Tahoma"/>
          <w:b/>
          <w:sz w:val="20"/>
          <w:szCs w:val="20"/>
        </w:rPr>
        <w:t>Lima</w:t>
      </w:r>
      <w:r w:rsidRPr="00A67AEE">
        <w:rPr>
          <w:rFonts w:ascii="Tahoma" w:hAnsi="Tahoma" w:cs="Tahoma"/>
          <w:sz w:val="20"/>
          <w:szCs w:val="20"/>
        </w:rPr>
        <w:t xml:space="preserve">, </w:t>
      </w:r>
      <w:r w:rsidR="00075B0C">
        <w:rPr>
          <w:rFonts w:ascii="Tahoma" w:hAnsi="Tahoma" w:cs="Tahoma"/>
          <w:sz w:val="20"/>
          <w:szCs w:val="20"/>
        </w:rPr>
        <w:t>31 de Mayo de 2011</w:t>
      </w:r>
    </w:p>
    <w:p w:rsidR="00A67AEE" w:rsidRPr="00A67AEE" w:rsidRDefault="00A67AEE" w:rsidP="00A67AEE">
      <w:pPr>
        <w:pStyle w:val="Textoindependiente3"/>
        <w:spacing w:after="0"/>
        <w:jc w:val="both"/>
        <w:rPr>
          <w:rFonts w:ascii="Tahoma" w:hAnsi="Tahoma" w:cs="Tahoma"/>
          <w:sz w:val="20"/>
          <w:szCs w:val="20"/>
        </w:rPr>
      </w:pPr>
    </w:p>
    <w:p w:rsidR="00A67AEE" w:rsidRPr="00A67AEE" w:rsidRDefault="00A67AEE" w:rsidP="00A67AEE">
      <w:pPr>
        <w:spacing w:after="0" w:line="240" w:lineRule="auto"/>
        <w:jc w:val="both"/>
        <w:rPr>
          <w:rFonts w:ascii="Tahoma" w:hAnsi="Tahoma" w:cs="Tahoma"/>
          <w:sz w:val="20"/>
          <w:szCs w:val="20"/>
        </w:rPr>
      </w:pPr>
      <w:r w:rsidRPr="00A67AEE">
        <w:rPr>
          <w:rFonts w:ascii="Tahoma" w:hAnsi="Tahoma" w:cs="Tahoma"/>
          <w:b/>
          <w:sz w:val="20"/>
          <w:szCs w:val="20"/>
        </w:rPr>
        <w:t>VISTO</w:t>
      </w:r>
      <w:r w:rsidRPr="00A67AEE">
        <w:rPr>
          <w:rFonts w:ascii="Tahoma" w:hAnsi="Tahoma" w:cs="Tahoma"/>
          <w:sz w:val="20"/>
          <w:szCs w:val="20"/>
        </w:rPr>
        <w:t xml:space="preserve"> en sesión de fecha </w:t>
      </w:r>
      <w:r>
        <w:rPr>
          <w:rFonts w:ascii="Tahoma" w:hAnsi="Tahoma" w:cs="Tahoma"/>
          <w:sz w:val="20"/>
          <w:szCs w:val="20"/>
        </w:rPr>
        <w:t>31</w:t>
      </w:r>
      <w:r w:rsidRPr="00A67AEE">
        <w:rPr>
          <w:rFonts w:ascii="Tahoma" w:hAnsi="Tahoma" w:cs="Tahoma"/>
          <w:sz w:val="20"/>
          <w:szCs w:val="20"/>
        </w:rPr>
        <w:t xml:space="preserve"> de mayo de 2011 de la Primera Sala del Tribunal de Contrataciones del Estado el Expediente № </w:t>
      </w:r>
      <w:r>
        <w:rPr>
          <w:rFonts w:ascii="Tahoma" w:hAnsi="Tahoma" w:cs="Tahoma"/>
          <w:sz w:val="20"/>
          <w:szCs w:val="20"/>
        </w:rPr>
        <w:t>1787/2010</w:t>
      </w:r>
      <w:r w:rsidRPr="00A67AEE">
        <w:rPr>
          <w:rFonts w:ascii="Tahoma" w:hAnsi="Tahoma" w:cs="Tahoma"/>
          <w:sz w:val="20"/>
          <w:szCs w:val="20"/>
        </w:rPr>
        <w:t>.TC, sobre el procedimiento administrativo sancionador contra el Consorcio Proxtronic</w:t>
      </w:r>
      <w:r>
        <w:rPr>
          <w:rFonts w:ascii="Tahoma" w:hAnsi="Tahoma" w:cs="Tahoma"/>
          <w:sz w:val="20"/>
          <w:szCs w:val="20"/>
        </w:rPr>
        <w:t>s</w:t>
      </w:r>
      <w:r w:rsidRPr="00A67AEE">
        <w:rPr>
          <w:rFonts w:ascii="Tahoma" w:hAnsi="Tahoma" w:cs="Tahoma"/>
          <w:sz w:val="20"/>
          <w:szCs w:val="20"/>
        </w:rPr>
        <w:t xml:space="preserve"> del Pacífico S.A.C., </w:t>
      </w:r>
      <w:r w:rsidRPr="00A67AEE">
        <w:rPr>
          <w:rFonts w:ascii="Tahoma" w:hAnsi="Tahoma" w:cs="Tahoma"/>
          <w:sz w:val="20"/>
          <w:szCs w:val="20"/>
          <w:lang w:val="es-MX"/>
        </w:rPr>
        <w:t xml:space="preserve">por supuesta responsabilidad en </w:t>
      </w:r>
      <w:r>
        <w:rPr>
          <w:rFonts w:ascii="Tahoma" w:hAnsi="Tahoma" w:cs="Tahoma"/>
          <w:sz w:val="20"/>
          <w:szCs w:val="20"/>
          <w:lang w:val="es-MX"/>
        </w:rPr>
        <w:t xml:space="preserve">haber presentado documentos falsos y/o inexactos durante su participación en la </w:t>
      </w:r>
      <w:r w:rsidRPr="00A67AEE">
        <w:rPr>
          <w:rFonts w:ascii="Tahoma" w:hAnsi="Tahoma" w:cs="Tahoma"/>
          <w:sz w:val="20"/>
          <w:szCs w:val="20"/>
        </w:rPr>
        <w:t xml:space="preserve">Adjudicación de Menor cuantía Nº 1015M01521, </w:t>
      </w:r>
      <w:r>
        <w:rPr>
          <w:rFonts w:ascii="Tahoma" w:hAnsi="Tahoma" w:cs="Tahoma"/>
          <w:sz w:val="20"/>
          <w:szCs w:val="20"/>
        </w:rPr>
        <w:t xml:space="preserve">efectuada por </w:t>
      </w:r>
      <w:r w:rsidRPr="00A67AEE">
        <w:rPr>
          <w:rFonts w:ascii="Tahoma" w:hAnsi="Tahoma" w:cs="Tahoma"/>
          <w:sz w:val="20"/>
          <w:szCs w:val="20"/>
        </w:rPr>
        <w:t xml:space="preserve">el Seguro Social de Salud </w:t>
      </w:r>
      <w:r>
        <w:rPr>
          <w:rFonts w:ascii="Tahoma" w:hAnsi="Tahoma" w:cs="Tahoma"/>
          <w:sz w:val="20"/>
          <w:szCs w:val="20"/>
        </w:rPr>
        <w:t>–</w:t>
      </w:r>
      <w:r w:rsidRPr="00A67AEE">
        <w:rPr>
          <w:rFonts w:ascii="Tahoma" w:hAnsi="Tahoma" w:cs="Tahoma"/>
          <w:sz w:val="20"/>
          <w:szCs w:val="20"/>
        </w:rPr>
        <w:t xml:space="preserve"> ESSALUD</w:t>
      </w:r>
      <w:r>
        <w:rPr>
          <w:rFonts w:ascii="Tahoma" w:hAnsi="Tahoma" w:cs="Tahoma"/>
          <w:sz w:val="20"/>
          <w:szCs w:val="20"/>
        </w:rPr>
        <w:t xml:space="preserve">, </w:t>
      </w:r>
      <w:r w:rsidRPr="00A67AEE">
        <w:rPr>
          <w:rFonts w:ascii="Tahoma" w:hAnsi="Tahoma" w:cs="Tahoma"/>
          <w:sz w:val="20"/>
          <w:szCs w:val="20"/>
        </w:rPr>
        <w:t xml:space="preserve">para la “Contratación del Servicio de Dosimetría para los Centros Asistenciales de la Red Asistencial La Libertad”; y, atendiendo a los siguientes:   </w:t>
      </w:r>
    </w:p>
    <w:p w:rsidR="00A67AEE" w:rsidRPr="00A67AEE" w:rsidRDefault="00A67AEE" w:rsidP="00A67AEE">
      <w:pPr>
        <w:spacing w:after="0" w:line="240" w:lineRule="auto"/>
        <w:ind w:right="45"/>
        <w:jc w:val="both"/>
        <w:rPr>
          <w:rFonts w:ascii="Tahoma" w:hAnsi="Tahoma" w:cs="Tahoma"/>
          <w:sz w:val="20"/>
          <w:szCs w:val="20"/>
        </w:rPr>
      </w:pPr>
    </w:p>
    <w:p w:rsidR="00A67AEE" w:rsidRPr="00A67AEE" w:rsidRDefault="00A67AEE" w:rsidP="00A67AEE">
      <w:pPr>
        <w:pStyle w:val="Ttulo2"/>
        <w:jc w:val="both"/>
        <w:rPr>
          <w:rFonts w:cs="Tahoma"/>
          <w:sz w:val="20"/>
        </w:rPr>
      </w:pPr>
      <w:r w:rsidRPr="00A67AEE">
        <w:rPr>
          <w:rFonts w:cs="Tahoma"/>
          <w:sz w:val="20"/>
        </w:rPr>
        <w:t>ANTECEDENTES:</w:t>
      </w:r>
    </w:p>
    <w:p w:rsidR="00A67AEE" w:rsidRDefault="00A67AEE" w:rsidP="00A67AEE">
      <w:pPr>
        <w:pStyle w:val="Prrafodelista"/>
        <w:widowControl/>
        <w:suppressAutoHyphens w:val="0"/>
        <w:ind w:left="454"/>
        <w:jc w:val="both"/>
        <w:rPr>
          <w:rFonts w:ascii="Tahoma" w:hAnsi="Tahoma" w:cs="Tahoma"/>
          <w:sz w:val="20"/>
        </w:rPr>
      </w:pPr>
    </w:p>
    <w:p w:rsidR="00A67AEE" w:rsidRPr="00A67AEE" w:rsidRDefault="00A67AEE" w:rsidP="00A67AEE">
      <w:pPr>
        <w:pStyle w:val="Prrafodelista"/>
        <w:widowControl/>
        <w:numPr>
          <w:ilvl w:val="0"/>
          <w:numId w:val="7"/>
        </w:numPr>
        <w:suppressAutoHyphens w:val="0"/>
        <w:jc w:val="both"/>
        <w:rPr>
          <w:rFonts w:ascii="Tahoma" w:hAnsi="Tahoma" w:cs="Tahoma"/>
          <w:sz w:val="20"/>
        </w:rPr>
      </w:pPr>
      <w:r w:rsidRPr="00A67AEE">
        <w:rPr>
          <w:rFonts w:ascii="Tahoma" w:hAnsi="Tahoma" w:cs="Tahoma"/>
          <w:sz w:val="20"/>
        </w:rPr>
        <w:t>El 20 de agosto de 2010 el Seguro Social de Salud - ESSALUD, en lo sucesivo La Entidad, convocó la Adjudicación de Menor cuantía Nº 1015M01521, para la “Contratación del Servicio de Dosimetría para los Centros Asistenciales de la Red Asistencial La Libertad”, por un valor referencial ascendente a S/. 53,008.56 Nuevos Soles.</w:t>
      </w:r>
    </w:p>
    <w:p w:rsidR="00A67AEE" w:rsidRPr="00A67AEE" w:rsidRDefault="00A67AEE" w:rsidP="00A67AEE">
      <w:pPr>
        <w:pStyle w:val="Prrafodelista"/>
        <w:ind w:left="454"/>
        <w:jc w:val="both"/>
        <w:rPr>
          <w:rFonts w:ascii="Tahoma" w:hAnsi="Tahoma" w:cs="Tahoma"/>
          <w:sz w:val="20"/>
        </w:rPr>
      </w:pPr>
    </w:p>
    <w:p w:rsidR="00A67AEE" w:rsidRPr="00A67AEE" w:rsidRDefault="00A67AEE" w:rsidP="00A67AEE">
      <w:pPr>
        <w:pStyle w:val="Prrafodelista"/>
        <w:widowControl/>
        <w:numPr>
          <w:ilvl w:val="0"/>
          <w:numId w:val="7"/>
        </w:numPr>
        <w:suppressAutoHyphens w:val="0"/>
        <w:jc w:val="both"/>
        <w:rPr>
          <w:rFonts w:ascii="Tahoma" w:hAnsi="Tahoma" w:cs="Tahoma"/>
          <w:sz w:val="20"/>
        </w:rPr>
      </w:pPr>
      <w:r w:rsidRPr="00A67AEE">
        <w:rPr>
          <w:rFonts w:ascii="Tahoma" w:hAnsi="Tahoma" w:cs="Tahoma"/>
          <w:sz w:val="20"/>
        </w:rPr>
        <w:t>Con fecha 26 de agosto de 2010, el Comité Especial a cargo del proceso de selección, previa evaluación y calificación de propuestas, otorgó la buena pro al Consorcio Proxtronic</w:t>
      </w:r>
      <w:r w:rsidR="003D0329">
        <w:rPr>
          <w:rFonts w:ascii="Tahoma" w:hAnsi="Tahoma" w:cs="Tahoma"/>
          <w:sz w:val="20"/>
        </w:rPr>
        <w:t>s</w:t>
      </w:r>
      <w:r w:rsidRPr="00A67AEE">
        <w:rPr>
          <w:rFonts w:ascii="Tahoma" w:hAnsi="Tahoma" w:cs="Tahoma"/>
          <w:sz w:val="20"/>
        </w:rPr>
        <w:t xml:space="preserve"> del Pacífico S.A.C., en adelante el Postor.</w:t>
      </w:r>
    </w:p>
    <w:p w:rsidR="00A67AEE" w:rsidRPr="00A67AEE" w:rsidRDefault="00A67AEE" w:rsidP="00A67AEE">
      <w:pPr>
        <w:pStyle w:val="Prrafodelista"/>
        <w:ind w:left="0"/>
        <w:jc w:val="both"/>
        <w:rPr>
          <w:rFonts w:ascii="Tahoma" w:hAnsi="Tahoma" w:cs="Tahoma"/>
          <w:sz w:val="20"/>
        </w:rPr>
      </w:pPr>
    </w:p>
    <w:p w:rsidR="00A67AEE" w:rsidRPr="00A67AEE" w:rsidRDefault="00A67AEE" w:rsidP="00A67AEE">
      <w:pPr>
        <w:pStyle w:val="Prrafodelista"/>
        <w:widowControl/>
        <w:numPr>
          <w:ilvl w:val="0"/>
          <w:numId w:val="7"/>
        </w:numPr>
        <w:suppressAutoHyphens w:val="0"/>
        <w:jc w:val="both"/>
        <w:rPr>
          <w:rFonts w:ascii="Tahoma" w:hAnsi="Tahoma" w:cs="Tahoma"/>
          <w:sz w:val="20"/>
        </w:rPr>
      </w:pPr>
      <w:r w:rsidRPr="00A67AEE">
        <w:rPr>
          <w:rFonts w:ascii="Tahoma" w:hAnsi="Tahoma" w:cs="Tahoma"/>
          <w:sz w:val="20"/>
        </w:rPr>
        <w:t xml:space="preserve"> Con escrito de fecha 03 de septiembre de 2010, la empresa NUCLEAR CONTROL S.A.C. interpuso recurso de apelación contra el otorgamiento de la buena pro, en virtud a los siguientes argumentos:</w:t>
      </w:r>
    </w:p>
    <w:p w:rsidR="00A67AEE" w:rsidRPr="00A67AEE" w:rsidRDefault="00A67AEE" w:rsidP="00A67AEE">
      <w:pPr>
        <w:pStyle w:val="Prrafodelista"/>
        <w:rPr>
          <w:rFonts w:ascii="Tahoma" w:hAnsi="Tahoma" w:cs="Tahoma"/>
          <w:sz w:val="20"/>
        </w:rPr>
      </w:pPr>
    </w:p>
    <w:p w:rsidR="00A67AEE" w:rsidRPr="00A67AEE" w:rsidRDefault="00A67AEE" w:rsidP="00A67AEE">
      <w:pPr>
        <w:pStyle w:val="Prrafodelista"/>
        <w:widowControl/>
        <w:numPr>
          <w:ilvl w:val="0"/>
          <w:numId w:val="9"/>
        </w:numPr>
        <w:suppressAutoHyphens w:val="0"/>
        <w:jc w:val="both"/>
        <w:rPr>
          <w:rFonts w:ascii="Tahoma" w:hAnsi="Tahoma" w:cs="Tahoma"/>
          <w:sz w:val="20"/>
        </w:rPr>
      </w:pPr>
      <w:r w:rsidRPr="00A67AEE">
        <w:rPr>
          <w:rFonts w:ascii="Tahoma" w:hAnsi="Tahoma" w:cs="Tahoma"/>
          <w:sz w:val="20"/>
        </w:rPr>
        <w:t>Se cuestionó la veracidad de las facturas Nº 001-0065, 001-0043, 001-0022 y 001-0025, presentadas por el Postor para acreditar experiencia, toda vez que la emisión de las mismas evidencian hechos de imposibilidad real y jurídica.</w:t>
      </w:r>
    </w:p>
    <w:p w:rsidR="00A67AEE" w:rsidRPr="00A67AEE" w:rsidRDefault="00A67AEE" w:rsidP="00A67AEE">
      <w:pPr>
        <w:pStyle w:val="Prrafodelista"/>
        <w:ind w:left="1174"/>
        <w:jc w:val="both"/>
        <w:rPr>
          <w:rFonts w:ascii="Tahoma" w:hAnsi="Tahoma" w:cs="Tahoma"/>
          <w:sz w:val="20"/>
        </w:rPr>
      </w:pPr>
    </w:p>
    <w:p w:rsidR="00A67AEE" w:rsidRPr="00A67AEE" w:rsidRDefault="00A67AEE" w:rsidP="00A67AEE">
      <w:pPr>
        <w:pStyle w:val="Prrafodelista"/>
        <w:ind w:left="1174"/>
        <w:jc w:val="both"/>
        <w:rPr>
          <w:rFonts w:ascii="Tahoma" w:hAnsi="Tahoma" w:cs="Tahoma"/>
          <w:sz w:val="20"/>
        </w:rPr>
      </w:pPr>
      <w:r w:rsidRPr="00A67AEE">
        <w:rPr>
          <w:rFonts w:ascii="Tahoma" w:hAnsi="Tahoma" w:cs="Tahoma"/>
          <w:sz w:val="20"/>
        </w:rPr>
        <w:t>Respecto a la Factura Nº 001-000022, se cuestionó que esta haya sido emitida por el servicio de Dosimetría el 01 de julio de 2010, a la empresa Biomédica Electrónica S.A.C., por un monto ascendente a S/. 90,000.00  Nuevos Soles, puesto que, este servicio fue Contratado por la misma empresa el 01 de marzo de 2009 por un plazo de dos (02) años y por el mismo monto, es decir, solo podría haber facturado dicho monto al finalizar el servicio y no antes.</w:t>
      </w:r>
    </w:p>
    <w:p w:rsidR="00A67AEE" w:rsidRPr="00A67AEE" w:rsidRDefault="00A67AEE" w:rsidP="00A67AEE">
      <w:pPr>
        <w:pStyle w:val="Prrafodelista"/>
        <w:ind w:left="1174"/>
        <w:jc w:val="both"/>
        <w:rPr>
          <w:rFonts w:ascii="Tahoma" w:hAnsi="Tahoma" w:cs="Tahoma"/>
          <w:sz w:val="20"/>
        </w:rPr>
      </w:pPr>
    </w:p>
    <w:p w:rsidR="00A67AEE" w:rsidRPr="00A67AEE" w:rsidRDefault="00A67AEE" w:rsidP="00A67AEE">
      <w:pPr>
        <w:pStyle w:val="Prrafodelista"/>
        <w:ind w:left="1174"/>
        <w:jc w:val="both"/>
        <w:rPr>
          <w:rFonts w:ascii="Tahoma" w:hAnsi="Tahoma" w:cs="Tahoma"/>
          <w:sz w:val="20"/>
        </w:rPr>
      </w:pPr>
      <w:r w:rsidRPr="00A67AEE">
        <w:rPr>
          <w:rFonts w:ascii="Tahoma" w:hAnsi="Tahoma" w:cs="Tahoma"/>
          <w:sz w:val="20"/>
        </w:rPr>
        <w:t xml:space="preserve">En tal sentido, el servicio prestado efectivamente hasta el mes de julio de 2010 no equivale  a la realización total del servicio contratado, pues el contrato era de dos años, por lo que al haber presentado la factura 001-000022  con su conformidad,  </w:t>
      </w:r>
      <w:r w:rsidRPr="00A67AEE">
        <w:rPr>
          <w:rFonts w:ascii="Tahoma" w:hAnsi="Tahoma" w:cs="Tahoma"/>
          <w:sz w:val="20"/>
        </w:rPr>
        <w:lastRenderedPageBreak/>
        <w:t>estaría acreditando una experiencia que no tiene.</w:t>
      </w:r>
    </w:p>
    <w:p w:rsidR="00A67AEE" w:rsidRPr="00A67AEE" w:rsidRDefault="00A67AEE" w:rsidP="00A67AEE">
      <w:pPr>
        <w:pStyle w:val="Prrafodelista"/>
        <w:ind w:left="1174"/>
        <w:jc w:val="both"/>
        <w:rPr>
          <w:rFonts w:ascii="Tahoma" w:hAnsi="Tahoma" w:cs="Tahoma"/>
          <w:sz w:val="20"/>
        </w:rPr>
      </w:pPr>
    </w:p>
    <w:p w:rsidR="00A67AEE" w:rsidRPr="00A67AEE" w:rsidRDefault="00A67AEE" w:rsidP="00A67AEE">
      <w:pPr>
        <w:pStyle w:val="Prrafodelista"/>
        <w:widowControl/>
        <w:numPr>
          <w:ilvl w:val="0"/>
          <w:numId w:val="9"/>
        </w:numPr>
        <w:suppressAutoHyphens w:val="0"/>
        <w:jc w:val="both"/>
        <w:rPr>
          <w:rFonts w:ascii="Tahoma" w:hAnsi="Tahoma" w:cs="Tahoma"/>
          <w:sz w:val="20"/>
        </w:rPr>
      </w:pPr>
      <w:r w:rsidRPr="00A67AEE">
        <w:rPr>
          <w:rFonts w:ascii="Tahoma" w:hAnsi="Tahoma" w:cs="Tahoma"/>
          <w:sz w:val="20"/>
        </w:rPr>
        <w:t>Se cuestionó que la propuesta del postor ganador de la buena pro no ha sido rubricada y sellada en todos  los documentos presentados.</w:t>
      </w:r>
    </w:p>
    <w:p w:rsidR="00A67AEE" w:rsidRPr="00A67AEE" w:rsidRDefault="00A67AEE" w:rsidP="00A67AEE">
      <w:pPr>
        <w:pStyle w:val="Prrafodelista"/>
        <w:rPr>
          <w:rFonts w:ascii="Tahoma" w:hAnsi="Tahoma" w:cs="Tahoma"/>
          <w:sz w:val="20"/>
        </w:rPr>
      </w:pPr>
    </w:p>
    <w:p w:rsidR="00A67AEE" w:rsidRPr="00A67AEE" w:rsidRDefault="00A67AEE" w:rsidP="00A67AEE">
      <w:pPr>
        <w:pStyle w:val="Prrafodelista"/>
        <w:widowControl/>
        <w:numPr>
          <w:ilvl w:val="0"/>
          <w:numId w:val="9"/>
        </w:numPr>
        <w:suppressAutoHyphens w:val="0"/>
        <w:jc w:val="both"/>
        <w:rPr>
          <w:rFonts w:ascii="Tahoma" w:hAnsi="Tahoma" w:cs="Tahoma"/>
          <w:sz w:val="20"/>
        </w:rPr>
      </w:pPr>
      <w:r w:rsidRPr="00A67AEE">
        <w:rPr>
          <w:rFonts w:ascii="Tahoma" w:hAnsi="Tahoma" w:cs="Tahoma"/>
          <w:sz w:val="20"/>
        </w:rPr>
        <w:t>Se cuestionó el no cumplimiento de los requerimientos técnicos mínimos.</w:t>
      </w:r>
    </w:p>
    <w:p w:rsidR="00A67AEE" w:rsidRPr="00A67AEE" w:rsidRDefault="00A67AEE" w:rsidP="00A67AEE">
      <w:pPr>
        <w:pStyle w:val="Prrafodelista"/>
        <w:rPr>
          <w:rFonts w:ascii="Tahoma" w:hAnsi="Tahoma" w:cs="Tahoma"/>
          <w:sz w:val="20"/>
        </w:rPr>
      </w:pPr>
    </w:p>
    <w:p w:rsidR="00A67AEE" w:rsidRPr="00A67AEE" w:rsidRDefault="00A67AEE" w:rsidP="00A67AEE">
      <w:pPr>
        <w:pStyle w:val="Prrafodelista"/>
        <w:widowControl/>
        <w:numPr>
          <w:ilvl w:val="0"/>
          <w:numId w:val="7"/>
        </w:numPr>
        <w:suppressAutoHyphens w:val="0"/>
        <w:jc w:val="both"/>
        <w:rPr>
          <w:rFonts w:ascii="Tahoma" w:hAnsi="Tahoma" w:cs="Tahoma"/>
          <w:sz w:val="20"/>
        </w:rPr>
      </w:pPr>
      <w:r w:rsidRPr="00A67AEE">
        <w:rPr>
          <w:rFonts w:ascii="Tahoma" w:hAnsi="Tahoma" w:cs="Tahoma"/>
          <w:sz w:val="20"/>
        </w:rPr>
        <w:t xml:space="preserve">Mediante Resolución de Gerencial General Nº 1095-GG-ESSALUD-2010 de fecha 21 de septiembre de 2010, la Entidad declaró Fundado el recurso de apelación interpuesto por la empresa NUCLEAR CONTROL S.A.C. contra el otorgamiento de la buena pro, y por ende, sin efecto el otorgamiento de la buena pro a favor de la empresa Consorcio Proxtronics del Pacífico S.A.C.; adjudicándose la misma a favor de la empresa Nuclear Control S.A.C. </w:t>
      </w:r>
    </w:p>
    <w:p w:rsidR="00A67AEE" w:rsidRPr="00A67AEE" w:rsidRDefault="00A67AEE" w:rsidP="00A67AEE">
      <w:pPr>
        <w:pStyle w:val="Prrafodelista"/>
        <w:ind w:left="0"/>
        <w:jc w:val="both"/>
        <w:rPr>
          <w:rFonts w:ascii="Tahoma" w:hAnsi="Tahoma" w:cs="Tahoma"/>
          <w:sz w:val="20"/>
        </w:rPr>
      </w:pPr>
    </w:p>
    <w:p w:rsidR="00A67AEE" w:rsidRPr="00A67AEE" w:rsidRDefault="00A67AEE" w:rsidP="00A67AEE">
      <w:pPr>
        <w:pStyle w:val="Prrafodelista"/>
        <w:widowControl/>
        <w:numPr>
          <w:ilvl w:val="0"/>
          <w:numId w:val="7"/>
        </w:numPr>
        <w:suppressAutoHyphens w:val="0"/>
        <w:jc w:val="both"/>
        <w:rPr>
          <w:rFonts w:ascii="Tahoma" w:hAnsi="Tahoma" w:cs="Tahoma"/>
          <w:sz w:val="20"/>
        </w:rPr>
      </w:pPr>
      <w:r w:rsidRPr="00A67AEE">
        <w:rPr>
          <w:rFonts w:ascii="Tahoma" w:hAnsi="Tahoma" w:cs="Tahoma"/>
          <w:sz w:val="20"/>
        </w:rPr>
        <w:t>Mediante escrito S/n con registro Nº 10435 presentado el 15 diciembre de 2010, la Entidad comunicó al Tribunal de Contrataciones del Estado, en lo sucesivo el Tribunal, que el Consorcio había presentado la factura Nº 001-000022, a efectos de acreditar experiencia que no tiene, incurriendo en la infracción de presentación de información falsa y/o inexacta, solicitando se inicie el procedimiento sancionador.</w:t>
      </w:r>
    </w:p>
    <w:p w:rsidR="00A67AEE" w:rsidRPr="00A67AEE" w:rsidRDefault="00A67AEE" w:rsidP="00A67AEE">
      <w:pPr>
        <w:pStyle w:val="Prrafodelista"/>
        <w:ind w:left="0"/>
        <w:jc w:val="both"/>
        <w:rPr>
          <w:rFonts w:ascii="Tahoma" w:hAnsi="Tahoma" w:cs="Tahoma"/>
          <w:sz w:val="20"/>
        </w:rPr>
      </w:pPr>
    </w:p>
    <w:p w:rsidR="00A67AEE" w:rsidRPr="00A67AEE" w:rsidRDefault="00A67AEE" w:rsidP="00A67AEE">
      <w:pPr>
        <w:pStyle w:val="Prrafodelista"/>
        <w:widowControl/>
        <w:numPr>
          <w:ilvl w:val="0"/>
          <w:numId w:val="7"/>
        </w:numPr>
        <w:suppressAutoHyphens w:val="0"/>
        <w:jc w:val="both"/>
        <w:rPr>
          <w:rFonts w:ascii="Tahoma" w:hAnsi="Tahoma" w:cs="Tahoma"/>
          <w:sz w:val="20"/>
        </w:rPr>
      </w:pPr>
      <w:r w:rsidRPr="00A67AEE">
        <w:rPr>
          <w:rFonts w:ascii="Tahoma" w:hAnsi="Tahoma" w:cs="Tahoma"/>
          <w:sz w:val="20"/>
        </w:rPr>
        <w:t xml:space="preserve">Por decreto del 20 de diciembre de 2010, debidamente notificado el 08 de febrero de 2011, el Tribunal dispuso el inicio del procedimiento administrativo sancionador al Postor por su </w:t>
      </w:r>
      <w:r w:rsidRPr="00A67AEE">
        <w:rPr>
          <w:rFonts w:ascii="Tahoma" w:hAnsi="Tahoma" w:cs="Tahoma"/>
          <w:color w:val="000000"/>
          <w:sz w:val="20"/>
        </w:rPr>
        <w:t xml:space="preserve">supuesta responsabilidad en la presentación como parte de su propuesta técnica de la factura Nº 001-000022, documento supuestamente falso o inexacto, presentado en el marco del proceso de selección </w:t>
      </w:r>
      <w:r w:rsidRPr="00A67AEE">
        <w:rPr>
          <w:rFonts w:ascii="Tahoma" w:hAnsi="Tahoma" w:cs="Tahoma"/>
          <w:b/>
          <w:bCs/>
          <w:color w:val="000000"/>
          <w:sz w:val="20"/>
        </w:rPr>
        <w:t xml:space="preserve">Adjudicación de Menor Cuantía Nº 1015M01521 – Primera Convocatoria - </w:t>
      </w:r>
      <w:r w:rsidRPr="00A67AEE">
        <w:rPr>
          <w:rFonts w:ascii="Tahoma" w:hAnsi="Tahoma" w:cs="Tahoma"/>
          <w:color w:val="000000"/>
          <w:sz w:val="20"/>
        </w:rPr>
        <w:t xml:space="preserve">convocado por el </w:t>
      </w:r>
      <w:r w:rsidRPr="00A67AEE">
        <w:rPr>
          <w:rFonts w:ascii="Tahoma" w:hAnsi="Tahoma" w:cs="Tahoma"/>
          <w:b/>
          <w:bCs/>
          <w:color w:val="000000"/>
          <w:sz w:val="20"/>
        </w:rPr>
        <w:t xml:space="preserve">SEGURO SOCIAL DE SALUD - ESSALUD </w:t>
      </w:r>
      <w:r w:rsidRPr="00A67AEE">
        <w:rPr>
          <w:rFonts w:ascii="Tahoma" w:hAnsi="Tahoma" w:cs="Tahoma"/>
          <w:color w:val="000000"/>
          <w:sz w:val="20"/>
        </w:rPr>
        <w:t>para la</w:t>
      </w:r>
      <w:r w:rsidRPr="00A67AEE">
        <w:rPr>
          <w:rFonts w:ascii="Tahoma" w:hAnsi="Tahoma" w:cs="Tahoma"/>
          <w:b/>
          <w:bCs/>
          <w:color w:val="000000"/>
          <w:sz w:val="20"/>
        </w:rPr>
        <w:t xml:space="preserve"> “</w:t>
      </w:r>
      <w:r w:rsidRPr="00A67AEE">
        <w:rPr>
          <w:rFonts w:ascii="Tahoma" w:hAnsi="Tahoma" w:cs="Tahoma"/>
          <w:color w:val="000000"/>
          <w:sz w:val="20"/>
        </w:rPr>
        <w:t>Contratación de Servicio de Dosimetría para los Centros Asistenciales de la Red Asistencial La Libertad</w:t>
      </w:r>
      <w:r w:rsidRPr="00A67AEE">
        <w:rPr>
          <w:rFonts w:ascii="Tahoma" w:hAnsi="Tahoma" w:cs="Tahoma"/>
          <w:b/>
          <w:bCs/>
          <w:color w:val="000000"/>
          <w:sz w:val="20"/>
        </w:rPr>
        <w:t>”</w:t>
      </w:r>
      <w:r w:rsidRPr="00A67AEE">
        <w:rPr>
          <w:rFonts w:ascii="Tahoma" w:hAnsi="Tahoma" w:cs="Tahoma"/>
          <w:sz w:val="20"/>
          <w:lang w:eastAsia="en-US"/>
        </w:rPr>
        <w:t xml:space="preserve">; infracción tipificada en el literal i) del  numeral 51.1 del artículo 51 de la Ley de Contrataciones del Estado, aprobada por Decreto Legislativo Nº 1017. </w:t>
      </w:r>
      <w:r w:rsidRPr="00A67AEE">
        <w:rPr>
          <w:rFonts w:ascii="Tahoma" w:hAnsi="Tahoma" w:cs="Tahoma"/>
          <w:sz w:val="20"/>
        </w:rPr>
        <w:t>Asimismo, se le emplazó para que dentro del plazo de diez (10) días hábiles presente sus descargos, bajo apercibimiento de resolver con la documentación obrante en autos.</w:t>
      </w:r>
    </w:p>
    <w:p w:rsidR="00A67AEE" w:rsidRPr="00A67AEE" w:rsidRDefault="00A67AEE" w:rsidP="00A67AEE">
      <w:pPr>
        <w:pStyle w:val="Prrafodelista"/>
        <w:jc w:val="both"/>
        <w:rPr>
          <w:rFonts w:ascii="Tahoma" w:hAnsi="Tahoma" w:cs="Tahoma"/>
          <w:sz w:val="20"/>
        </w:rPr>
      </w:pPr>
    </w:p>
    <w:p w:rsidR="00A67AEE" w:rsidRPr="00A67AEE" w:rsidRDefault="00A67AEE" w:rsidP="00A67AEE">
      <w:pPr>
        <w:pStyle w:val="Prrafodelista"/>
        <w:widowControl/>
        <w:numPr>
          <w:ilvl w:val="0"/>
          <w:numId w:val="7"/>
        </w:numPr>
        <w:suppressAutoHyphens w:val="0"/>
        <w:jc w:val="both"/>
        <w:rPr>
          <w:rFonts w:ascii="Tahoma" w:hAnsi="Tahoma" w:cs="Tahoma"/>
          <w:sz w:val="20"/>
        </w:rPr>
      </w:pPr>
      <w:r w:rsidRPr="00A67AEE">
        <w:rPr>
          <w:rFonts w:ascii="Tahoma" w:hAnsi="Tahoma" w:cs="Tahoma"/>
          <w:sz w:val="20"/>
        </w:rPr>
        <w:t>El 25 de febrero de 2011 la empresa CONSORCIO PROXTRONICS DEL PACIFICO S.A.C.  se apersonó al presente procedimiento y presentó sus descargos , manifestando los siguientes argumentos:</w:t>
      </w:r>
    </w:p>
    <w:p w:rsidR="00A67AEE" w:rsidRPr="00A67AEE" w:rsidRDefault="00A67AEE" w:rsidP="00A67AEE">
      <w:pPr>
        <w:pStyle w:val="Prrafodelista"/>
        <w:ind w:left="0"/>
        <w:jc w:val="both"/>
        <w:rPr>
          <w:rFonts w:ascii="Tahoma" w:hAnsi="Tahoma" w:cs="Tahoma"/>
          <w:sz w:val="20"/>
        </w:rPr>
      </w:pPr>
    </w:p>
    <w:p w:rsidR="00A67AEE" w:rsidRPr="00A67AEE" w:rsidRDefault="00A67AEE" w:rsidP="00A67AEE">
      <w:pPr>
        <w:pStyle w:val="Prrafodelista"/>
        <w:widowControl/>
        <w:numPr>
          <w:ilvl w:val="0"/>
          <w:numId w:val="8"/>
        </w:numPr>
        <w:suppressAutoHyphens w:val="0"/>
        <w:jc w:val="both"/>
        <w:rPr>
          <w:rFonts w:ascii="Tahoma" w:hAnsi="Tahoma" w:cs="Tahoma"/>
          <w:sz w:val="20"/>
        </w:rPr>
      </w:pPr>
      <w:r w:rsidRPr="00A67AEE">
        <w:rPr>
          <w:rFonts w:ascii="Tahoma" w:hAnsi="Tahoma" w:cs="Tahoma"/>
          <w:sz w:val="20"/>
        </w:rPr>
        <w:t xml:space="preserve">Respecto a la factura Nº 001-000022 de fecha 06 de julio de 2010, debe indicarse que si bien es cierto, la empresa BIOMEDICA ELECTRONICA S.A.C. canceló la totalidad del servicio por adelantado, también es cierto que dicha empresa, mediante la constancia de prestación de servicios señalo lo siguiente: “Por medio de la presente se deja constancia que la empresa ha cumplido con el servicio de Dosimetría por el servicio correspondiente al mes de julio”. </w:t>
      </w:r>
    </w:p>
    <w:p w:rsidR="00A67AEE" w:rsidRPr="00A67AEE" w:rsidRDefault="00A67AEE" w:rsidP="00A67AEE">
      <w:pPr>
        <w:pStyle w:val="Prrafodelista"/>
        <w:ind w:left="1174"/>
        <w:jc w:val="both"/>
        <w:rPr>
          <w:rFonts w:ascii="Tahoma" w:hAnsi="Tahoma" w:cs="Tahoma"/>
          <w:sz w:val="20"/>
        </w:rPr>
      </w:pPr>
    </w:p>
    <w:p w:rsidR="00A67AEE" w:rsidRPr="00A67AEE" w:rsidRDefault="00A67AEE" w:rsidP="00A67AEE">
      <w:pPr>
        <w:pStyle w:val="Prrafodelista"/>
        <w:widowControl/>
        <w:numPr>
          <w:ilvl w:val="0"/>
          <w:numId w:val="8"/>
        </w:numPr>
        <w:suppressAutoHyphens w:val="0"/>
        <w:jc w:val="both"/>
        <w:rPr>
          <w:rFonts w:ascii="Tahoma" w:hAnsi="Tahoma" w:cs="Tahoma"/>
          <w:sz w:val="20"/>
        </w:rPr>
      </w:pPr>
      <w:r w:rsidRPr="00A67AEE">
        <w:rPr>
          <w:rFonts w:ascii="Tahoma" w:hAnsi="Tahoma" w:cs="Tahoma"/>
          <w:sz w:val="20"/>
        </w:rPr>
        <w:t>Dicho servicio de DOSIMETRIA se ha brindado de manera periódica, por tal motivo, ninguno de los documentos contiene información inexacta, pues el servicio corresponde al mes de julio y se pagó por adelantado el servicio contratado.</w:t>
      </w:r>
    </w:p>
    <w:p w:rsidR="00A67AEE" w:rsidRPr="00A67AEE" w:rsidRDefault="00A67AEE" w:rsidP="00A67AEE">
      <w:pPr>
        <w:pStyle w:val="Prrafodelista"/>
        <w:rPr>
          <w:rFonts w:ascii="Tahoma" w:hAnsi="Tahoma" w:cs="Tahoma"/>
          <w:sz w:val="20"/>
        </w:rPr>
      </w:pPr>
    </w:p>
    <w:p w:rsidR="00A67AEE" w:rsidRPr="00A67AEE" w:rsidRDefault="00A67AEE" w:rsidP="00A67AEE">
      <w:pPr>
        <w:pStyle w:val="Prrafodelista"/>
        <w:widowControl/>
        <w:numPr>
          <w:ilvl w:val="0"/>
          <w:numId w:val="8"/>
        </w:numPr>
        <w:suppressAutoHyphens w:val="0"/>
        <w:jc w:val="both"/>
        <w:rPr>
          <w:rFonts w:ascii="Tahoma" w:hAnsi="Tahoma" w:cs="Tahoma"/>
          <w:sz w:val="20"/>
        </w:rPr>
      </w:pPr>
      <w:r w:rsidRPr="00A67AEE">
        <w:rPr>
          <w:rFonts w:ascii="Tahoma" w:hAnsi="Tahoma" w:cs="Tahoma"/>
          <w:sz w:val="20"/>
        </w:rPr>
        <w:t>Se prueba la exactitud de la Factura Nº 000022 por S/. 90,000.00 Nuevos Soles, así como el contrato y la prestación de servicios, con el respectivo pago de impuestos ante SUNAT  de conformidad al formato 14.1 realizado el mes de agosto de 2010.</w:t>
      </w:r>
    </w:p>
    <w:p w:rsidR="00A67AEE" w:rsidRPr="00A67AEE" w:rsidRDefault="00A67AEE" w:rsidP="00A67AEE">
      <w:pPr>
        <w:pStyle w:val="Prrafodelista"/>
        <w:rPr>
          <w:rFonts w:ascii="Tahoma" w:hAnsi="Tahoma" w:cs="Tahoma"/>
          <w:sz w:val="20"/>
        </w:rPr>
      </w:pPr>
    </w:p>
    <w:p w:rsidR="00A67AEE" w:rsidRPr="00A67AEE" w:rsidRDefault="00A67AEE" w:rsidP="00A67AEE">
      <w:pPr>
        <w:pStyle w:val="Prrafodelista"/>
        <w:widowControl/>
        <w:numPr>
          <w:ilvl w:val="0"/>
          <w:numId w:val="7"/>
        </w:numPr>
        <w:suppressAutoHyphens w:val="0"/>
        <w:jc w:val="both"/>
        <w:rPr>
          <w:rFonts w:ascii="Tahoma" w:hAnsi="Tahoma" w:cs="Tahoma"/>
          <w:sz w:val="20"/>
        </w:rPr>
      </w:pPr>
      <w:r w:rsidRPr="00A67AEE">
        <w:rPr>
          <w:rFonts w:ascii="Tahoma" w:hAnsi="Tahoma" w:cs="Tahoma"/>
          <w:sz w:val="20"/>
          <w:lang w:val="es-PE"/>
        </w:rPr>
        <w:lastRenderedPageBreak/>
        <w:t xml:space="preserve"> A través del decreto de fecha 02 de marzo de 2011, se tuvo por apersonado al Postor a la instancia administrativa, por absueltos los descargos, y se remitió el expediente a la Primera Sala del Tribunal para que resolviera.</w:t>
      </w:r>
    </w:p>
    <w:p w:rsidR="00A67AEE" w:rsidRPr="00A67AEE" w:rsidRDefault="00A67AEE" w:rsidP="00A67AEE">
      <w:pPr>
        <w:pStyle w:val="Prrafodelista"/>
        <w:ind w:left="454"/>
        <w:jc w:val="both"/>
        <w:rPr>
          <w:rFonts w:ascii="Tahoma" w:hAnsi="Tahoma" w:cs="Tahoma"/>
          <w:sz w:val="20"/>
        </w:rPr>
      </w:pPr>
    </w:p>
    <w:p w:rsidR="00A67AEE" w:rsidRPr="00A67AEE" w:rsidRDefault="00A67AEE" w:rsidP="00A67AEE">
      <w:pPr>
        <w:pStyle w:val="Prrafodelista"/>
        <w:widowControl/>
        <w:numPr>
          <w:ilvl w:val="0"/>
          <w:numId w:val="7"/>
        </w:numPr>
        <w:suppressAutoHyphens w:val="0"/>
        <w:jc w:val="both"/>
        <w:rPr>
          <w:rFonts w:ascii="Tahoma" w:hAnsi="Tahoma" w:cs="Tahoma"/>
          <w:sz w:val="20"/>
        </w:rPr>
      </w:pPr>
      <w:r w:rsidRPr="00A67AEE">
        <w:rPr>
          <w:rFonts w:ascii="Tahoma" w:hAnsi="Tahoma" w:cs="Tahoma"/>
          <w:sz w:val="20"/>
        </w:rPr>
        <w:t>El 17 de mayo de 2011 se programó la diligencia de audiencia pública, sin embargo, la misma no se llevó acabo por inasistencia de las partes.</w:t>
      </w:r>
    </w:p>
    <w:p w:rsidR="00A67AEE" w:rsidRPr="00A67AEE" w:rsidRDefault="00A67AEE" w:rsidP="00A67AEE">
      <w:pPr>
        <w:pStyle w:val="Prrafodelista"/>
        <w:rPr>
          <w:rFonts w:ascii="Tahoma" w:hAnsi="Tahoma" w:cs="Tahoma"/>
          <w:sz w:val="20"/>
        </w:rPr>
      </w:pPr>
    </w:p>
    <w:p w:rsidR="00A67AEE" w:rsidRPr="00A67AEE" w:rsidRDefault="00A67AEE" w:rsidP="00A67AEE">
      <w:pPr>
        <w:pStyle w:val="Prrafodelista"/>
        <w:widowControl/>
        <w:numPr>
          <w:ilvl w:val="0"/>
          <w:numId w:val="7"/>
        </w:numPr>
        <w:suppressAutoHyphens w:val="0"/>
        <w:jc w:val="both"/>
        <w:rPr>
          <w:rFonts w:ascii="Tahoma" w:hAnsi="Tahoma" w:cs="Tahoma"/>
          <w:sz w:val="20"/>
        </w:rPr>
      </w:pPr>
      <w:r w:rsidRPr="00A67AEE">
        <w:rPr>
          <w:rFonts w:ascii="Tahoma" w:hAnsi="Tahoma" w:cs="Tahoma"/>
          <w:sz w:val="20"/>
        </w:rPr>
        <w:t>Con decreto de fecha 19 de mayo de 2011, el Tribunal requirió información adicional a la empresa BIOELECTRON S.A.C., para mejor resolver.</w:t>
      </w:r>
    </w:p>
    <w:p w:rsidR="00A67AEE" w:rsidRPr="00A67AEE" w:rsidRDefault="00A67AEE" w:rsidP="00A67AEE">
      <w:pPr>
        <w:pStyle w:val="Prrafodelista"/>
        <w:rPr>
          <w:rFonts w:ascii="Tahoma" w:hAnsi="Tahoma" w:cs="Tahoma"/>
          <w:sz w:val="20"/>
        </w:rPr>
      </w:pPr>
    </w:p>
    <w:p w:rsidR="00A67AEE" w:rsidRPr="00A67AEE" w:rsidRDefault="00A67AEE" w:rsidP="00A67AEE">
      <w:pPr>
        <w:pStyle w:val="Prrafodelista"/>
        <w:widowControl/>
        <w:numPr>
          <w:ilvl w:val="0"/>
          <w:numId w:val="7"/>
        </w:numPr>
        <w:suppressAutoHyphens w:val="0"/>
        <w:jc w:val="both"/>
        <w:rPr>
          <w:rFonts w:ascii="Tahoma" w:hAnsi="Tahoma" w:cs="Tahoma"/>
          <w:sz w:val="20"/>
        </w:rPr>
      </w:pPr>
      <w:r w:rsidRPr="00A67AEE">
        <w:rPr>
          <w:rFonts w:ascii="Tahoma" w:hAnsi="Tahoma" w:cs="Tahoma"/>
          <w:sz w:val="20"/>
        </w:rPr>
        <w:t>Con escrito de fecha 27 de mayo de 2011, la empresa BIOELECTRON S.A.C remitió la información requerida.</w:t>
      </w:r>
    </w:p>
    <w:p w:rsidR="00A67AEE" w:rsidRPr="00A67AEE" w:rsidRDefault="00A67AEE" w:rsidP="00A67AEE">
      <w:pPr>
        <w:tabs>
          <w:tab w:val="num" w:pos="9720"/>
        </w:tabs>
        <w:spacing w:after="0" w:line="240" w:lineRule="auto"/>
        <w:jc w:val="both"/>
        <w:rPr>
          <w:rFonts w:ascii="Tahoma" w:hAnsi="Tahoma" w:cs="Tahoma"/>
          <w:b/>
          <w:sz w:val="20"/>
          <w:szCs w:val="20"/>
        </w:rPr>
      </w:pPr>
    </w:p>
    <w:p w:rsidR="00A67AEE" w:rsidRPr="00A67AEE" w:rsidRDefault="00A67AEE" w:rsidP="00A67AEE">
      <w:pPr>
        <w:tabs>
          <w:tab w:val="num" w:pos="9720"/>
        </w:tabs>
        <w:spacing w:after="0" w:line="240" w:lineRule="auto"/>
        <w:jc w:val="both"/>
        <w:rPr>
          <w:rFonts w:ascii="Tahoma" w:hAnsi="Tahoma" w:cs="Tahoma"/>
          <w:b/>
          <w:sz w:val="20"/>
          <w:szCs w:val="20"/>
        </w:rPr>
      </w:pPr>
      <w:r w:rsidRPr="00A67AEE">
        <w:rPr>
          <w:rFonts w:ascii="Tahoma" w:hAnsi="Tahoma" w:cs="Tahoma"/>
          <w:b/>
          <w:sz w:val="20"/>
          <w:szCs w:val="20"/>
        </w:rPr>
        <w:t>FUNDAMENTACIÓN:</w:t>
      </w:r>
    </w:p>
    <w:p w:rsidR="00A67AEE" w:rsidRDefault="00A67AEE" w:rsidP="00A67AEE">
      <w:pPr>
        <w:spacing w:after="0" w:line="240" w:lineRule="auto"/>
        <w:ind w:left="720"/>
        <w:jc w:val="both"/>
        <w:rPr>
          <w:rFonts w:ascii="Tahoma" w:hAnsi="Tahoma" w:cs="Tahoma"/>
          <w:sz w:val="20"/>
          <w:szCs w:val="20"/>
        </w:rPr>
      </w:pPr>
    </w:p>
    <w:p w:rsidR="00A67AEE" w:rsidRPr="00A67AEE" w:rsidRDefault="00A67AEE" w:rsidP="00A67AEE">
      <w:pPr>
        <w:numPr>
          <w:ilvl w:val="0"/>
          <w:numId w:val="10"/>
        </w:numPr>
        <w:spacing w:after="0" w:line="240" w:lineRule="auto"/>
        <w:jc w:val="both"/>
        <w:rPr>
          <w:rFonts w:ascii="Tahoma" w:hAnsi="Tahoma" w:cs="Tahoma"/>
          <w:sz w:val="20"/>
          <w:szCs w:val="20"/>
        </w:rPr>
      </w:pPr>
      <w:r w:rsidRPr="00A67AEE">
        <w:rPr>
          <w:rFonts w:ascii="Tahoma" w:hAnsi="Tahoma" w:cs="Tahoma"/>
          <w:sz w:val="20"/>
          <w:szCs w:val="20"/>
        </w:rPr>
        <w:t>El presente procedimiento sancionador ha sido iniciado para determinar si la empresa CONSORCIO PROXTRONICS DEL PACIFICO S.A.C. ha incurrido en responsabilidad administrativa por la supuesta presentación de documentos falsos o inexactos durante la Adjudicación de Menor cuantía Nº 1015M01521, para la “Contratación del Servicio de Dosimetría para los Centros Asistenciales de la Red Asistencial La Libertad”; infracción tipificada en el literal i) del numeral 51.1 del artículo 51 de la Ley de Contrataciones del Estado</w:t>
      </w:r>
      <w:r w:rsidRPr="00A67AEE">
        <w:rPr>
          <w:rFonts w:ascii="Tahoma" w:hAnsi="Tahoma" w:cs="Tahoma"/>
          <w:sz w:val="20"/>
          <w:szCs w:val="20"/>
          <w:vertAlign w:val="superscript"/>
        </w:rPr>
        <w:footnoteReference w:id="2"/>
      </w:r>
      <w:r w:rsidRPr="00A67AEE">
        <w:rPr>
          <w:rFonts w:ascii="Tahoma" w:hAnsi="Tahoma" w:cs="Tahoma"/>
          <w:sz w:val="20"/>
          <w:szCs w:val="20"/>
        </w:rPr>
        <w:t>, en adelante la Ley, y 237 del Reglamento</w:t>
      </w:r>
      <w:r w:rsidRPr="00A67AEE">
        <w:rPr>
          <w:rFonts w:ascii="Tahoma" w:hAnsi="Tahoma" w:cs="Tahoma"/>
          <w:sz w:val="20"/>
          <w:szCs w:val="20"/>
          <w:vertAlign w:val="superscript"/>
        </w:rPr>
        <w:footnoteReference w:id="3"/>
      </w:r>
      <w:r w:rsidRPr="00A67AEE">
        <w:rPr>
          <w:rFonts w:ascii="Tahoma" w:hAnsi="Tahoma" w:cs="Tahoma"/>
          <w:sz w:val="20"/>
          <w:szCs w:val="20"/>
        </w:rPr>
        <w:t>, normas vigentes al suscitarse los hechos.</w:t>
      </w:r>
    </w:p>
    <w:p w:rsidR="00A67AEE" w:rsidRDefault="00A67AEE" w:rsidP="00A67AEE">
      <w:pPr>
        <w:spacing w:line="240" w:lineRule="auto"/>
        <w:ind w:left="720"/>
        <w:rPr>
          <w:rFonts w:ascii="Tahoma" w:hAnsi="Tahoma" w:cs="Tahoma"/>
          <w:b/>
          <w:bCs/>
          <w:i/>
          <w:iCs/>
          <w:sz w:val="20"/>
          <w:szCs w:val="20"/>
        </w:rPr>
      </w:pPr>
    </w:p>
    <w:p w:rsidR="00A67AEE" w:rsidRPr="00A67AEE" w:rsidRDefault="00A67AEE" w:rsidP="00A67AEE">
      <w:pPr>
        <w:spacing w:line="240" w:lineRule="auto"/>
        <w:ind w:left="720"/>
        <w:rPr>
          <w:rFonts w:ascii="Tahoma" w:hAnsi="Tahoma" w:cs="Tahoma"/>
          <w:b/>
          <w:bCs/>
          <w:i/>
          <w:iCs/>
          <w:sz w:val="20"/>
          <w:szCs w:val="20"/>
        </w:rPr>
      </w:pPr>
      <w:r w:rsidRPr="00A67AEE">
        <w:rPr>
          <w:rFonts w:ascii="Tahoma" w:hAnsi="Tahoma" w:cs="Tahoma"/>
          <w:b/>
          <w:bCs/>
          <w:i/>
          <w:iCs/>
          <w:sz w:val="20"/>
          <w:szCs w:val="20"/>
        </w:rPr>
        <w:t>Respecto a la eventual responsabilidad del postor por la presentación de documentos falsos o inexactos</w:t>
      </w:r>
    </w:p>
    <w:p w:rsidR="00A67AEE" w:rsidRDefault="00A67AEE" w:rsidP="00A67AEE">
      <w:pPr>
        <w:numPr>
          <w:ilvl w:val="0"/>
          <w:numId w:val="10"/>
        </w:numPr>
        <w:spacing w:after="0" w:line="240" w:lineRule="auto"/>
        <w:jc w:val="both"/>
        <w:rPr>
          <w:rFonts w:ascii="Tahoma" w:hAnsi="Tahoma" w:cs="Tahoma"/>
          <w:sz w:val="20"/>
          <w:szCs w:val="20"/>
        </w:rPr>
      </w:pPr>
      <w:r w:rsidRPr="00A67AEE">
        <w:rPr>
          <w:rFonts w:ascii="Tahoma" w:hAnsi="Tahoma" w:cs="Tahoma"/>
          <w:sz w:val="20"/>
          <w:szCs w:val="20"/>
        </w:rPr>
        <w:t>Sobre el particular, el numeral 1) del literal i) del artículo 51 de la Ley, concordante con el artículo 237 del Reglamento establece que los agentes privados de la contratación incurrirán en infracción susceptible de sanción cuando presenten documentos falsos o información inexacta a las Entidades , al Tribunal o al OSCE. Dicha infracción se configura con la sola presentación del documento falso o inexacto, sin que la norma exija otros factores adicionales ; es decir, con la sola afectación del Principio de Presunción de Veracidad</w:t>
      </w:r>
      <w:r w:rsidRPr="00A67AEE">
        <w:rPr>
          <w:rStyle w:val="Refdenotaalpie"/>
          <w:rFonts w:ascii="Tahoma" w:hAnsi="Tahoma" w:cs="Tahoma"/>
          <w:sz w:val="20"/>
          <w:szCs w:val="20"/>
        </w:rPr>
        <w:footnoteReference w:id="4"/>
      </w:r>
      <w:r w:rsidRPr="00A67AEE">
        <w:rPr>
          <w:rFonts w:ascii="Tahoma" w:hAnsi="Tahoma" w:cs="Tahoma"/>
          <w:sz w:val="20"/>
          <w:szCs w:val="20"/>
        </w:rPr>
        <w:t xml:space="preserve"> consagrado en el acápite 1.7 del Artículo IV del Título Preliminar de la Ley Nº 27444, del Procedimiento Administrativo General, por cuanto la Administración Pública presume que todos los documentos y declaraciones formuladas por los administrados responden a la verdad de los hechos que ellos afirman, reservándose, en virtud de lo establecido en el numeral 1.16 del citado dispositivo, el derecho de verificar posteriormente la veracidad y autenticidad de los mismos.</w:t>
      </w:r>
    </w:p>
    <w:p w:rsidR="00A67AEE" w:rsidRDefault="00A67AEE" w:rsidP="00A67AEE">
      <w:pPr>
        <w:spacing w:after="0" w:line="240" w:lineRule="auto"/>
        <w:ind w:left="720"/>
        <w:jc w:val="both"/>
        <w:rPr>
          <w:rFonts w:ascii="Tahoma" w:hAnsi="Tahoma" w:cs="Tahoma"/>
          <w:sz w:val="20"/>
          <w:szCs w:val="20"/>
        </w:rPr>
      </w:pPr>
    </w:p>
    <w:p w:rsidR="00A67AEE" w:rsidRPr="00A67AEE" w:rsidRDefault="00A67AEE" w:rsidP="00A67AEE">
      <w:pPr>
        <w:numPr>
          <w:ilvl w:val="0"/>
          <w:numId w:val="10"/>
        </w:numPr>
        <w:spacing w:after="0" w:line="240" w:lineRule="auto"/>
        <w:jc w:val="both"/>
        <w:rPr>
          <w:rFonts w:ascii="Tahoma" w:hAnsi="Tahoma" w:cs="Tahoma"/>
          <w:sz w:val="20"/>
          <w:szCs w:val="20"/>
        </w:rPr>
      </w:pPr>
      <w:r w:rsidRPr="00A67AEE">
        <w:rPr>
          <w:rFonts w:ascii="Tahoma" w:hAnsi="Tahoma" w:cs="Tahoma"/>
          <w:sz w:val="20"/>
          <w:szCs w:val="20"/>
        </w:rPr>
        <w:t xml:space="preserve">Asimismo, </w:t>
      </w:r>
      <w:r w:rsidRPr="00A67AEE">
        <w:rPr>
          <w:rFonts w:ascii="Tahoma" w:hAnsi="Tahoma" w:cs="Tahoma"/>
          <w:sz w:val="20"/>
          <w:szCs w:val="20"/>
          <w:lang w:val="es-MX"/>
        </w:rPr>
        <w:t xml:space="preserve">el artículo 42 de la Ley de Procedimiento Administrativo General establece que todas las declaraciones juradas, los documentos sucedáneos presentados y la información incluida en los escritos y formularios que presenten los administrados para la realización de procedimientos administrativos, </w:t>
      </w:r>
      <w:r w:rsidRPr="00A67AEE">
        <w:rPr>
          <w:rFonts w:ascii="Tahoma" w:hAnsi="Tahoma" w:cs="Tahoma"/>
          <w:b/>
          <w:bCs/>
          <w:sz w:val="20"/>
          <w:szCs w:val="20"/>
          <w:lang w:val="es-MX"/>
        </w:rPr>
        <w:t>se presumen verificados por quien hace uso de ellos, así como de contenido veraz para fines del procedimiento administrativo</w:t>
      </w:r>
      <w:r w:rsidRPr="00A67AEE">
        <w:rPr>
          <w:rFonts w:ascii="Tahoma" w:hAnsi="Tahoma" w:cs="Tahoma"/>
          <w:sz w:val="20"/>
          <w:szCs w:val="20"/>
          <w:lang w:val="es-MX"/>
        </w:rPr>
        <w:t xml:space="preserve">. Sin embargo, esta presunción es de índole </w:t>
      </w:r>
      <w:r w:rsidRPr="00A67AEE">
        <w:rPr>
          <w:rFonts w:ascii="Tahoma" w:hAnsi="Tahoma" w:cs="Tahoma"/>
          <w:i/>
          <w:iCs/>
          <w:sz w:val="20"/>
          <w:szCs w:val="20"/>
          <w:lang w:val="es-MX"/>
        </w:rPr>
        <w:t>juris tantum</w:t>
      </w:r>
      <w:r w:rsidRPr="00A67AEE">
        <w:rPr>
          <w:rFonts w:ascii="Tahoma" w:hAnsi="Tahoma" w:cs="Tahoma"/>
          <w:sz w:val="20"/>
          <w:szCs w:val="20"/>
          <w:lang w:val="es-MX"/>
        </w:rPr>
        <w:t xml:space="preserve"> pues admite prueba en contrario, en la medida que es atribución de la Administración Pública verificar la documentación presentada cuando existen indicios suficientes de que la información consignada no se ajusta a los hechos.</w:t>
      </w:r>
    </w:p>
    <w:p w:rsidR="00A67AEE" w:rsidRDefault="00A67AEE" w:rsidP="00A67AEE">
      <w:pPr>
        <w:pStyle w:val="Prrafodelista"/>
        <w:rPr>
          <w:rFonts w:ascii="Tahoma" w:hAnsi="Tahoma" w:cs="Tahoma"/>
          <w:sz w:val="20"/>
        </w:rPr>
      </w:pPr>
    </w:p>
    <w:p w:rsidR="00A67AEE" w:rsidRDefault="00A67AEE" w:rsidP="00A67AEE">
      <w:pPr>
        <w:numPr>
          <w:ilvl w:val="0"/>
          <w:numId w:val="10"/>
        </w:numPr>
        <w:spacing w:after="0" w:line="240" w:lineRule="auto"/>
        <w:jc w:val="both"/>
        <w:rPr>
          <w:rFonts w:ascii="Tahoma" w:hAnsi="Tahoma" w:cs="Tahoma"/>
          <w:sz w:val="20"/>
          <w:szCs w:val="20"/>
        </w:rPr>
      </w:pPr>
      <w:r w:rsidRPr="00A67AEE">
        <w:rPr>
          <w:rFonts w:ascii="Tahoma" w:hAnsi="Tahoma" w:cs="Tahoma"/>
          <w:sz w:val="20"/>
          <w:szCs w:val="20"/>
        </w:rPr>
        <w:t>Concordante con lo manifestado, el inciso 4) del artículo 56 del mismo cuerpo legal, estipula como uno de los deberes generales de los administrados, la comprobación de la autenticidad previamente a su presentación ante la Entidad, de la documentación sucedánea y de cualquier otra información que se ampare en la presunción de veracidad.</w:t>
      </w:r>
    </w:p>
    <w:p w:rsidR="00A67AEE" w:rsidRDefault="00A67AEE" w:rsidP="00A67AEE">
      <w:pPr>
        <w:pStyle w:val="Prrafodelista"/>
        <w:rPr>
          <w:rFonts w:ascii="Tahoma" w:hAnsi="Tahoma" w:cs="Tahoma"/>
          <w:sz w:val="20"/>
        </w:rPr>
      </w:pPr>
    </w:p>
    <w:p w:rsidR="00A67AEE" w:rsidRDefault="00A67AEE" w:rsidP="00A67AEE">
      <w:pPr>
        <w:numPr>
          <w:ilvl w:val="0"/>
          <w:numId w:val="10"/>
        </w:numPr>
        <w:spacing w:after="0" w:line="240" w:lineRule="auto"/>
        <w:jc w:val="both"/>
        <w:rPr>
          <w:rFonts w:ascii="Tahoma" w:hAnsi="Tahoma" w:cs="Tahoma"/>
          <w:sz w:val="20"/>
          <w:szCs w:val="20"/>
        </w:rPr>
      </w:pPr>
      <w:r w:rsidRPr="00A67AEE">
        <w:rPr>
          <w:rFonts w:ascii="Tahoma" w:hAnsi="Tahoma" w:cs="Tahoma"/>
          <w:sz w:val="20"/>
          <w:szCs w:val="20"/>
        </w:rPr>
        <w:t xml:space="preserve">En línea con lo anterior, el literal c) del numeral 1 del artículo 42 del Reglamento establece que los postores y/o contratistas </w:t>
      </w:r>
      <w:r w:rsidRPr="00A67AEE">
        <w:rPr>
          <w:rFonts w:ascii="Tahoma" w:hAnsi="Tahoma" w:cs="Tahoma"/>
          <w:b/>
          <w:bCs/>
          <w:sz w:val="20"/>
          <w:szCs w:val="20"/>
        </w:rPr>
        <w:t>son responsables de la veracidad de los documentos e información que presentan para efectos de un proceso de selección determinado</w:t>
      </w:r>
      <w:r w:rsidRPr="00A67AEE">
        <w:rPr>
          <w:rFonts w:ascii="Tahoma" w:hAnsi="Tahoma" w:cs="Tahoma"/>
          <w:sz w:val="20"/>
          <w:szCs w:val="20"/>
        </w:rPr>
        <w:t>.</w:t>
      </w:r>
    </w:p>
    <w:p w:rsidR="00A67AEE" w:rsidRDefault="00A67AEE" w:rsidP="00A67AEE">
      <w:pPr>
        <w:pStyle w:val="Prrafodelista"/>
        <w:rPr>
          <w:rFonts w:ascii="Tahoma" w:hAnsi="Tahoma" w:cs="Tahoma"/>
          <w:sz w:val="20"/>
        </w:rPr>
      </w:pPr>
    </w:p>
    <w:p w:rsidR="00A67AEE" w:rsidRDefault="00A67AEE" w:rsidP="00A67AEE">
      <w:pPr>
        <w:numPr>
          <w:ilvl w:val="0"/>
          <w:numId w:val="10"/>
        </w:numPr>
        <w:spacing w:after="0" w:line="240" w:lineRule="auto"/>
        <w:jc w:val="both"/>
        <w:rPr>
          <w:rFonts w:ascii="Tahoma" w:hAnsi="Tahoma" w:cs="Tahoma"/>
          <w:sz w:val="20"/>
          <w:szCs w:val="20"/>
        </w:rPr>
      </w:pPr>
      <w:r w:rsidRPr="00A67AEE">
        <w:rPr>
          <w:rFonts w:ascii="Tahoma" w:hAnsi="Tahoma" w:cs="Tahoma"/>
          <w:sz w:val="20"/>
          <w:szCs w:val="20"/>
        </w:rPr>
        <w:t xml:space="preserve">Ahora bien, para la configuración del supuesto de presentación de documentación falsa, se requiere previamente acreditar su falsedad, esto es que el documento o los documentos cuestionados no hayan sido válidamente expedidos por el órgano o agente emisor correspondiente o que, siendo válidamente expedidos, hayan sido adulterados en su contenido. </w:t>
      </w:r>
    </w:p>
    <w:p w:rsidR="00A67AEE" w:rsidRDefault="00A67AEE" w:rsidP="00A67AEE">
      <w:pPr>
        <w:pStyle w:val="Prrafodelista"/>
        <w:rPr>
          <w:rFonts w:ascii="Tahoma" w:hAnsi="Tahoma" w:cs="Tahoma"/>
          <w:sz w:val="20"/>
          <w:lang w:val="es-PE"/>
        </w:rPr>
      </w:pPr>
    </w:p>
    <w:p w:rsidR="00A67AEE" w:rsidRPr="00A67AEE" w:rsidRDefault="00A67AEE" w:rsidP="00A67AEE">
      <w:pPr>
        <w:spacing w:after="0" w:line="240" w:lineRule="auto"/>
        <w:ind w:left="720"/>
        <w:jc w:val="both"/>
        <w:rPr>
          <w:rFonts w:ascii="Tahoma" w:hAnsi="Tahoma" w:cs="Tahoma"/>
          <w:sz w:val="20"/>
          <w:szCs w:val="20"/>
        </w:rPr>
      </w:pPr>
      <w:r w:rsidRPr="00A67AEE">
        <w:rPr>
          <w:rFonts w:ascii="Tahoma" w:hAnsi="Tahoma" w:cs="Tahoma"/>
          <w:sz w:val="20"/>
          <w:szCs w:val="20"/>
          <w:lang w:val="es-PE"/>
        </w:rPr>
        <w:t xml:space="preserve">Por otro lado, la infracción referida a información inexacta se configura ante la presentación de documentos no concordantes con la realidad, que constituye una forma de falseamiento de la misma, a través del quebrantamiento de los </w:t>
      </w:r>
      <w:r w:rsidRPr="00A67AEE">
        <w:rPr>
          <w:rFonts w:ascii="Tahoma" w:hAnsi="Tahoma" w:cs="Tahoma"/>
          <w:i/>
          <w:iCs/>
          <w:sz w:val="20"/>
          <w:szCs w:val="20"/>
          <w:lang w:val="es-PE"/>
        </w:rPr>
        <w:t>Principios de Moralidad</w:t>
      </w:r>
      <w:r w:rsidRPr="00A67AEE">
        <w:rPr>
          <w:rFonts w:ascii="Tahoma" w:hAnsi="Tahoma" w:cs="Tahoma"/>
          <w:sz w:val="20"/>
          <w:szCs w:val="20"/>
          <w:lang w:val="es-PE"/>
        </w:rPr>
        <w:t xml:space="preserve"> y de </w:t>
      </w:r>
      <w:r w:rsidRPr="00A67AEE">
        <w:rPr>
          <w:rFonts w:ascii="Tahoma" w:hAnsi="Tahoma" w:cs="Tahoma"/>
          <w:i/>
          <w:iCs/>
          <w:sz w:val="20"/>
          <w:szCs w:val="20"/>
          <w:lang w:val="es-PE"/>
        </w:rPr>
        <w:t>Presunción de Veracidad.</w:t>
      </w:r>
    </w:p>
    <w:p w:rsidR="00A67AEE" w:rsidRDefault="00A67AEE" w:rsidP="00A67AEE">
      <w:pPr>
        <w:spacing w:after="0" w:line="240" w:lineRule="auto"/>
        <w:ind w:left="720"/>
        <w:jc w:val="both"/>
        <w:rPr>
          <w:rFonts w:ascii="Tahoma" w:hAnsi="Tahoma" w:cs="Tahoma"/>
          <w:sz w:val="20"/>
          <w:szCs w:val="20"/>
        </w:rPr>
      </w:pPr>
    </w:p>
    <w:p w:rsidR="00A67AEE" w:rsidRPr="00A67AEE" w:rsidRDefault="00A67AEE" w:rsidP="00A67AEE">
      <w:pPr>
        <w:numPr>
          <w:ilvl w:val="0"/>
          <w:numId w:val="10"/>
        </w:numPr>
        <w:spacing w:after="0" w:line="240" w:lineRule="auto"/>
        <w:jc w:val="both"/>
        <w:rPr>
          <w:rFonts w:ascii="Tahoma" w:hAnsi="Tahoma" w:cs="Tahoma"/>
          <w:sz w:val="20"/>
          <w:szCs w:val="20"/>
        </w:rPr>
      </w:pPr>
      <w:r w:rsidRPr="00A67AEE">
        <w:rPr>
          <w:rFonts w:ascii="Tahoma" w:hAnsi="Tahoma" w:cs="Tahoma"/>
          <w:sz w:val="20"/>
          <w:szCs w:val="20"/>
        </w:rPr>
        <w:t>En el caso materia de análisis, la imputación efectuada contra el Postor está referida a que éste habría presentado como parte de su propuesta técnica la Factura Nº 001-000022</w:t>
      </w:r>
      <w:r w:rsidRPr="00A67AEE">
        <w:rPr>
          <w:rFonts w:ascii="Tahoma" w:hAnsi="Tahoma" w:cs="Tahoma"/>
          <w:b/>
          <w:bCs/>
          <w:sz w:val="20"/>
          <w:szCs w:val="20"/>
        </w:rPr>
        <w:t xml:space="preserve"> </w:t>
      </w:r>
      <w:r w:rsidRPr="00A67AEE">
        <w:rPr>
          <w:rFonts w:ascii="Tahoma" w:hAnsi="Tahoma" w:cs="Tahoma"/>
          <w:sz w:val="20"/>
          <w:szCs w:val="20"/>
        </w:rPr>
        <w:t>emitida el 01 de julio de 2010, a favor de la empresa BIOMEDICA ELECTRONICA S.A.C., por el servicio de Dosimetría, por un monto ascendente a S/. 90,000.00 Nuevos Soles, la cual sería presuntamente falsa y/o inexacta.</w:t>
      </w:r>
    </w:p>
    <w:p w:rsidR="00A67AEE" w:rsidRPr="00A67AEE" w:rsidRDefault="00A67AEE" w:rsidP="00A67AEE">
      <w:pPr>
        <w:spacing w:after="0" w:line="240" w:lineRule="auto"/>
        <w:ind w:left="720"/>
        <w:jc w:val="both"/>
        <w:rPr>
          <w:rFonts w:ascii="Tahoma" w:hAnsi="Tahoma" w:cs="Tahoma"/>
          <w:b/>
          <w:bCs/>
          <w:i/>
          <w:iCs/>
          <w:sz w:val="20"/>
          <w:szCs w:val="20"/>
        </w:rPr>
      </w:pPr>
    </w:p>
    <w:p w:rsidR="00A67AEE" w:rsidRPr="00A67AEE" w:rsidRDefault="00A67AEE" w:rsidP="00A67AEE">
      <w:pPr>
        <w:numPr>
          <w:ilvl w:val="0"/>
          <w:numId w:val="10"/>
        </w:numPr>
        <w:spacing w:after="0" w:line="240" w:lineRule="auto"/>
        <w:jc w:val="both"/>
        <w:rPr>
          <w:rFonts w:ascii="Tahoma" w:hAnsi="Tahoma" w:cs="Tahoma"/>
          <w:b/>
          <w:bCs/>
          <w:i/>
          <w:iCs/>
          <w:sz w:val="20"/>
          <w:szCs w:val="20"/>
        </w:rPr>
      </w:pPr>
      <w:r w:rsidRPr="00A67AEE">
        <w:rPr>
          <w:rFonts w:ascii="Tahoma" w:hAnsi="Tahoma" w:cs="Tahoma"/>
          <w:sz w:val="20"/>
          <w:szCs w:val="20"/>
        </w:rPr>
        <w:t>Esta imputación se sustentaría en la denuncia remitida por la Entidad el 15 de diciembre de 2010 a este Colegiado; en la cual se informó lo siguiente: “En cuanto al cuestionamiento realizado a la Factura Nº 001-000022, se advierte que la misma fue objeto de evaluación en el recurso de Apelación interpuesto por la empresa Dosirad S.A.C. contra el otorgamiento de la buena pro de la AMC Nº 1012M00331 “ Contratación del Servicio de Dosimetría por dos años para la Red Asistencial Cajamarca”. En dicho proceso el Postor adjudicado presentó la Factura Nº 001-000022 por el importe de S/. 90,000.00 nuevos soles y el contrato que la originó de fecha 01 de marzo de 2011, por el importe de S/. 90,000.00, el cual tenía un plazo de duración de dos años, para acreditar su experiencia de Postor, razón por la cual se determinó que si bien la factura cancelada por el monto total de servicio, a efectos de evaluar la experiencia, se consideró los servicios efectivamente realizados, es decir, se asignó el puntaje en el factor experiencia de manera proporcional a los servicios efectivamente prestados.</w:t>
      </w:r>
    </w:p>
    <w:p w:rsidR="00A67AEE" w:rsidRDefault="00A67AEE" w:rsidP="00A67AEE">
      <w:pPr>
        <w:pStyle w:val="Prrafodelista"/>
        <w:rPr>
          <w:rFonts w:ascii="Tahoma" w:hAnsi="Tahoma" w:cs="Tahoma"/>
          <w:b/>
          <w:bCs/>
          <w:i/>
          <w:iCs/>
          <w:sz w:val="20"/>
        </w:rPr>
      </w:pPr>
    </w:p>
    <w:p w:rsidR="00A67AEE" w:rsidRPr="00A67AEE" w:rsidRDefault="00A67AEE" w:rsidP="00A67AEE">
      <w:pPr>
        <w:spacing w:after="0" w:line="240" w:lineRule="auto"/>
        <w:ind w:left="720"/>
        <w:jc w:val="both"/>
        <w:rPr>
          <w:rFonts w:ascii="Tahoma" w:hAnsi="Tahoma" w:cs="Tahoma"/>
          <w:b/>
          <w:bCs/>
          <w:i/>
          <w:iCs/>
          <w:sz w:val="20"/>
          <w:szCs w:val="20"/>
        </w:rPr>
      </w:pPr>
      <w:r w:rsidRPr="00A67AEE">
        <w:rPr>
          <w:rFonts w:ascii="Tahoma" w:hAnsi="Tahoma" w:cs="Tahoma"/>
          <w:sz w:val="20"/>
          <w:szCs w:val="20"/>
        </w:rPr>
        <w:t>Ahora bien, en el presente caso, el Postor adjudicado, a folios 24 y 25 de su propuesta técnica, presenta la misma factura y la conformidad del servicio de fecha 1 y 30 de julio de 2010, respectivamente, expedida por la empresa Biomédica Electrónica S.A.C. por el importe total de S/. 90 ,000.00, importe total del contrato que origina la factura, dejando constancia que el consorcio Proxtronics ha cumplido con el servicio de dosimetría por el período comprendido en el mes de julio de 2010.</w:t>
      </w:r>
    </w:p>
    <w:p w:rsidR="00A67AEE" w:rsidRDefault="00A67AEE" w:rsidP="00A67AEE">
      <w:pPr>
        <w:spacing w:line="240" w:lineRule="auto"/>
        <w:ind w:left="709"/>
        <w:jc w:val="both"/>
        <w:rPr>
          <w:rFonts w:ascii="Tahoma" w:hAnsi="Tahoma" w:cs="Tahoma"/>
          <w:sz w:val="20"/>
          <w:szCs w:val="20"/>
        </w:rPr>
      </w:pPr>
    </w:p>
    <w:p w:rsidR="00A67AEE" w:rsidRPr="00A67AEE" w:rsidRDefault="00A67AEE" w:rsidP="00A67AEE">
      <w:pPr>
        <w:spacing w:line="240" w:lineRule="auto"/>
        <w:ind w:left="709"/>
        <w:jc w:val="both"/>
        <w:rPr>
          <w:rFonts w:ascii="Tahoma" w:hAnsi="Tahoma" w:cs="Tahoma"/>
          <w:b/>
          <w:bCs/>
          <w:sz w:val="20"/>
          <w:szCs w:val="20"/>
        </w:rPr>
      </w:pPr>
      <w:r w:rsidRPr="00A67AEE">
        <w:rPr>
          <w:rFonts w:ascii="Tahoma" w:hAnsi="Tahoma" w:cs="Tahoma"/>
          <w:sz w:val="20"/>
          <w:szCs w:val="20"/>
        </w:rPr>
        <w:t xml:space="preserve"> En tal sentido, el servicio prestado efectivamente hasta el mes de julio de 2010, no equivale a la realización total del servicio contratado, puesto que  el contrato culmina recién en el año 2012, por lo que el Postor adjudicado al haber presentado la factura Nº 001-000022 con su conformidad, a pretendido acreditar una experiencia que no tiene, incurriendo en la infracción de presentación de información inexacta.” (SIC).</w:t>
      </w:r>
    </w:p>
    <w:p w:rsidR="00A67AEE" w:rsidRPr="00A67AEE" w:rsidRDefault="00A67AEE" w:rsidP="00A67AEE">
      <w:pPr>
        <w:numPr>
          <w:ilvl w:val="0"/>
          <w:numId w:val="10"/>
        </w:numPr>
        <w:spacing w:after="0" w:line="240" w:lineRule="auto"/>
        <w:jc w:val="both"/>
        <w:rPr>
          <w:rFonts w:ascii="Tahoma" w:hAnsi="Tahoma" w:cs="Tahoma"/>
          <w:sz w:val="20"/>
          <w:szCs w:val="20"/>
        </w:rPr>
      </w:pPr>
      <w:r w:rsidRPr="00A67AEE">
        <w:rPr>
          <w:rFonts w:ascii="Tahoma" w:hAnsi="Tahoma" w:cs="Tahoma"/>
          <w:sz w:val="20"/>
          <w:szCs w:val="20"/>
        </w:rPr>
        <w:t>Al respecto, el cuestionamiento antes descrito supone la imposibilidad del Postor de haber presentado en su propuesta técnica la factura Nº 001-000022 por el monto de S/. 90, 000.00 nuevos soles, derivada de un contrato cuya duración es de dos años, cuando aún este no ha culminado, es decir, no podría acreditar como experiencia ese monto, toda vez que al tratarse de un contrato de prestaciones periódicas, solo podría acreditar el monto correspondiente al servicio efectivamente realizado y no la cantidad total, la cual se cancelaría al terminar el plazo del contrato (dos años).</w:t>
      </w:r>
    </w:p>
    <w:p w:rsidR="00A67AEE" w:rsidRPr="00A67AEE" w:rsidRDefault="00A67AEE" w:rsidP="00A67AEE">
      <w:pPr>
        <w:pStyle w:val="Prrafodelista"/>
        <w:rPr>
          <w:rFonts w:ascii="Tahoma" w:hAnsi="Tahoma" w:cs="Tahoma"/>
          <w:sz w:val="20"/>
        </w:rPr>
      </w:pPr>
    </w:p>
    <w:p w:rsidR="00A67AEE" w:rsidRPr="00A67AEE" w:rsidRDefault="00A67AEE" w:rsidP="00A67AEE">
      <w:pPr>
        <w:numPr>
          <w:ilvl w:val="0"/>
          <w:numId w:val="10"/>
        </w:numPr>
        <w:spacing w:after="0" w:line="240" w:lineRule="auto"/>
        <w:jc w:val="both"/>
        <w:rPr>
          <w:rFonts w:ascii="Tahoma" w:hAnsi="Tahoma" w:cs="Tahoma"/>
          <w:sz w:val="20"/>
          <w:szCs w:val="20"/>
        </w:rPr>
      </w:pPr>
      <w:r w:rsidRPr="00A67AEE">
        <w:rPr>
          <w:rFonts w:ascii="Tahoma" w:hAnsi="Tahoma" w:cs="Tahoma"/>
          <w:sz w:val="20"/>
          <w:szCs w:val="20"/>
        </w:rPr>
        <w:t>En relación a tal imputación, el Postor en ejercicio de su derecho de defensa ha señalado que “(…) la empresa BIOMEDICA ELECTRONICA S.A.C. canceló la totalidad del servicio por adelantado, y que la constancia de prestación de servicios indicaba que el servicio correspondía al mes de julio (…)”</w:t>
      </w:r>
    </w:p>
    <w:p w:rsidR="00A67AEE" w:rsidRPr="00A67AEE" w:rsidRDefault="00A67AEE" w:rsidP="00A67AEE">
      <w:pPr>
        <w:pStyle w:val="Prrafodelista"/>
        <w:rPr>
          <w:rFonts w:ascii="Tahoma" w:hAnsi="Tahoma" w:cs="Tahoma"/>
          <w:sz w:val="20"/>
        </w:rPr>
      </w:pPr>
    </w:p>
    <w:p w:rsidR="00A67AEE" w:rsidRDefault="00A67AEE" w:rsidP="00A67AEE">
      <w:pPr>
        <w:numPr>
          <w:ilvl w:val="0"/>
          <w:numId w:val="10"/>
        </w:numPr>
        <w:spacing w:after="0" w:line="240" w:lineRule="auto"/>
        <w:jc w:val="both"/>
        <w:rPr>
          <w:rFonts w:ascii="Tahoma" w:hAnsi="Tahoma" w:cs="Tahoma"/>
          <w:sz w:val="20"/>
          <w:szCs w:val="20"/>
        </w:rPr>
      </w:pPr>
      <w:r w:rsidRPr="00A67AEE">
        <w:rPr>
          <w:rFonts w:ascii="Tahoma" w:hAnsi="Tahoma" w:cs="Tahoma"/>
          <w:sz w:val="20"/>
          <w:szCs w:val="20"/>
        </w:rPr>
        <w:t xml:space="preserve"> Respecto a ello, de la revisión al presente expediente, este Colegiado ha podido corroborar que a folios 331 del expediente administrativo obra la Conformidad de Servicios</w:t>
      </w:r>
      <w:r w:rsidRPr="00A67AEE">
        <w:rPr>
          <w:rStyle w:val="Refdenotaalpie"/>
          <w:rFonts w:ascii="Tahoma" w:hAnsi="Tahoma" w:cs="Tahoma"/>
          <w:sz w:val="20"/>
          <w:szCs w:val="20"/>
        </w:rPr>
        <w:footnoteReference w:id="5"/>
      </w:r>
      <w:r w:rsidRPr="00A67AEE">
        <w:rPr>
          <w:rFonts w:ascii="Tahoma" w:hAnsi="Tahoma" w:cs="Tahoma"/>
          <w:sz w:val="20"/>
          <w:szCs w:val="20"/>
        </w:rPr>
        <w:t xml:space="preserve"> emitida por la empresa BIOMEDICA ELECTRONICA S.A.C. a nombre del Postor, en la cual se indicó que realizó el servicio de Dosimetría, de acuerdo a lo solicitado y no incurriendo en penalidades, siendo la fecha de realización del servicio, el </w:t>
      </w:r>
      <w:r w:rsidRPr="00A67AEE">
        <w:rPr>
          <w:rFonts w:ascii="Tahoma" w:hAnsi="Tahoma" w:cs="Tahoma"/>
          <w:sz w:val="20"/>
          <w:szCs w:val="20"/>
          <w:u w:val="single"/>
        </w:rPr>
        <w:t>correspondiente al Mes de Julio de 2010</w:t>
      </w:r>
      <w:r w:rsidRPr="00A67AEE">
        <w:rPr>
          <w:rFonts w:ascii="Tahoma" w:hAnsi="Tahoma" w:cs="Tahoma"/>
          <w:sz w:val="20"/>
          <w:szCs w:val="20"/>
        </w:rPr>
        <w:t>.</w:t>
      </w:r>
    </w:p>
    <w:p w:rsidR="00A67AEE" w:rsidRDefault="00A67AEE" w:rsidP="00A67AEE">
      <w:pPr>
        <w:pStyle w:val="Prrafodelista"/>
        <w:rPr>
          <w:rFonts w:ascii="Tahoma" w:hAnsi="Tahoma" w:cs="Tahoma"/>
          <w:sz w:val="20"/>
        </w:rPr>
      </w:pPr>
    </w:p>
    <w:p w:rsidR="00A67AEE" w:rsidRDefault="00A67AEE" w:rsidP="00A67AEE">
      <w:pPr>
        <w:numPr>
          <w:ilvl w:val="0"/>
          <w:numId w:val="10"/>
        </w:numPr>
        <w:spacing w:after="0" w:line="240" w:lineRule="auto"/>
        <w:jc w:val="both"/>
        <w:rPr>
          <w:rFonts w:ascii="Tahoma" w:hAnsi="Tahoma" w:cs="Tahoma"/>
          <w:sz w:val="20"/>
          <w:szCs w:val="20"/>
        </w:rPr>
      </w:pPr>
      <w:r w:rsidRPr="00A67AEE">
        <w:rPr>
          <w:rFonts w:ascii="Tahoma" w:hAnsi="Tahoma" w:cs="Tahoma"/>
          <w:sz w:val="20"/>
          <w:szCs w:val="20"/>
        </w:rPr>
        <w:t xml:space="preserve">En tal sentido, no se evidencia ninguna conducta del postor destinada a acreditar un tiempo mayor de experiencia que el señalado en la referida constancia de conformidad de servicios, pues si bien es cierto, el contrato tenía un plazo de dos años cuyo vencimiento sería el </w:t>
      </w:r>
      <w:r w:rsidRPr="00A67AEE">
        <w:rPr>
          <w:rFonts w:ascii="Tahoma" w:hAnsi="Tahoma" w:cs="Tahoma"/>
          <w:sz w:val="20"/>
          <w:szCs w:val="20"/>
          <w:u w:val="single"/>
        </w:rPr>
        <w:t>01 de marzo de 2011</w:t>
      </w:r>
      <w:r w:rsidRPr="00A67AEE">
        <w:rPr>
          <w:rFonts w:ascii="Tahoma" w:hAnsi="Tahoma" w:cs="Tahoma"/>
          <w:sz w:val="20"/>
          <w:szCs w:val="20"/>
        </w:rPr>
        <w:t>, no es menos cierto que, resulta totalmente válido acreditar la experiencia parcial en la ejecución de un servicio, cuando el mismo obedece a un contrato de prestaciones periódicas; con lo cual este Colegiado no advierte ninguna irregularidad ni inexactitud en lo señalado.</w:t>
      </w:r>
    </w:p>
    <w:p w:rsidR="00A67AEE" w:rsidRDefault="00A67AEE" w:rsidP="00A67AEE">
      <w:pPr>
        <w:pStyle w:val="Prrafodelista"/>
        <w:rPr>
          <w:rFonts w:ascii="Tahoma" w:hAnsi="Tahoma" w:cs="Tahoma"/>
          <w:sz w:val="20"/>
        </w:rPr>
      </w:pPr>
    </w:p>
    <w:p w:rsidR="00A67AEE" w:rsidRPr="00A67AEE" w:rsidRDefault="00A67AEE" w:rsidP="00A67AEE">
      <w:pPr>
        <w:numPr>
          <w:ilvl w:val="0"/>
          <w:numId w:val="10"/>
        </w:numPr>
        <w:spacing w:after="0" w:line="240" w:lineRule="auto"/>
        <w:jc w:val="both"/>
        <w:rPr>
          <w:rFonts w:ascii="Tahoma" w:hAnsi="Tahoma" w:cs="Tahoma"/>
          <w:sz w:val="20"/>
          <w:szCs w:val="20"/>
        </w:rPr>
      </w:pPr>
      <w:r w:rsidRPr="00A67AEE">
        <w:rPr>
          <w:rFonts w:ascii="Tahoma" w:hAnsi="Tahoma" w:cs="Tahoma"/>
          <w:sz w:val="20"/>
          <w:szCs w:val="20"/>
        </w:rPr>
        <w:t>De igual forma, el Postor ha señalado que el monto emitido en la Factura N 001-000022 ascendente a S/. 90,000.00 Nuevos Soles, obedece a un pago adelantado por parte de la empresa BIOMEDICA ELECTRONICA S.A.C.</w:t>
      </w:r>
    </w:p>
    <w:p w:rsidR="00A67AEE" w:rsidRPr="00A67AEE" w:rsidRDefault="00A67AEE" w:rsidP="00A67AEE">
      <w:pPr>
        <w:spacing w:line="240" w:lineRule="auto"/>
        <w:jc w:val="both"/>
        <w:rPr>
          <w:rFonts w:ascii="Tahoma" w:hAnsi="Tahoma" w:cs="Tahoma"/>
          <w:sz w:val="20"/>
          <w:szCs w:val="20"/>
        </w:rPr>
      </w:pPr>
    </w:p>
    <w:p w:rsidR="00A67AEE" w:rsidRDefault="00A67AEE" w:rsidP="00A67AEE">
      <w:pPr>
        <w:numPr>
          <w:ilvl w:val="0"/>
          <w:numId w:val="10"/>
        </w:numPr>
        <w:spacing w:after="0" w:line="240" w:lineRule="auto"/>
        <w:jc w:val="both"/>
        <w:rPr>
          <w:rFonts w:ascii="Tahoma" w:hAnsi="Tahoma" w:cs="Tahoma"/>
          <w:sz w:val="20"/>
          <w:szCs w:val="20"/>
        </w:rPr>
      </w:pPr>
      <w:r w:rsidRPr="00A67AEE">
        <w:rPr>
          <w:rFonts w:ascii="Tahoma" w:hAnsi="Tahoma" w:cs="Tahoma"/>
          <w:sz w:val="20"/>
          <w:szCs w:val="20"/>
        </w:rPr>
        <w:lastRenderedPageBreak/>
        <w:t>Como sustento de lo antes indicado, el Postor ha adjuntado la siguiente documentación que respaldaría su dicho: Pago del impuesto ante la SUNAT de conformidad al formato 14.1, realizado en el  mes de agosto de 2010.</w:t>
      </w:r>
    </w:p>
    <w:p w:rsidR="00A67AEE" w:rsidRDefault="00A67AEE" w:rsidP="00A67AEE">
      <w:pPr>
        <w:pStyle w:val="Prrafodelista"/>
        <w:rPr>
          <w:rFonts w:ascii="Tahoma" w:hAnsi="Tahoma" w:cs="Tahoma"/>
          <w:sz w:val="20"/>
        </w:rPr>
      </w:pPr>
    </w:p>
    <w:p w:rsidR="00A67AEE" w:rsidRDefault="00A67AEE" w:rsidP="00A67AEE">
      <w:pPr>
        <w:numPr>
          <w:ilvl w:val="0"/>
          <w:numId w:val="10"/>
        </w:numPr>
        <w:spacing w:after="0" w:line="240" w:lineRule="auto"/>
        <w:jc w:val="both"/>
        <w:rPr>
          <w:rFonts w:ascii="Tahoma" w:hAnsi="Tahoma" w:cs="Tahoma"/>
          <w:sz w:val="20"/>
          <w:szCs w:val="20"/>
        </w:rPr>
      </w:pPr>
      <w:r w:rsidRPr="00A67AEE">
        <w:rPr>
          <w:rFonts w:ascii="Tahoma" w:hAnsi="Tahoma" w:cs="Tahoma"/>
          <w:sz w:val="20"/>
          <w:szCs w:val="20"/>
        </w:rPr>
        <w:t xml:space="preserve">En relación a ello, debe indicarse que siendo el Contrato un acuerdo de voluntades que busca crear, regular, modificar o extinguir relaciones jurídicas de contenido patrimonial, a través del cual las partes pueden determinar libremente el contenido del mismo, siempre que no sea contrario a norma legal de carácter imperativo, conforme es de verse del artículo 1354 del Código Civil. </w:t>
      </w:r>
    </w:p>
    <w:p w:rsidR="00A67AEE" w:rsidRDefault="00A67AEE" w:rsidP="00A67AEE">
      <w:pPr>
        <w:pStyle w:val="Prrafodelista"/>
        <w:rPr>
          <w:rFonts w:ascii="Tahoma" w:hAnsi="Tahoma" w:cs="Tahoma"/>
          <w:sz w:val="20"/>
        </w:rPr>
      </w:pPr>
    </w:p>
    <w:p w:rsidR="00A67AEE" w:rsidRDefault="00A67AEE" w:rsidP="00A67AEE">
      <w:pPr>
        <w:numPr>
          <w:ilvl w:val="0"/>
          <w:numId w:val="10"/>
        </w:numPr>
        <w:spacing w:after="0" w:line="240" w:lineRule="auto"/>
        <w:jc w:val="both"/>
        <w:rPr>
          <w:rFonts w:ascii="Tahoma" w:hAnsi="Tahoma" w:cs="Tahoma"/>
          <w:sz w:val="20"/>
          <w:szCs w:val="20"/>
        </w:rPr>
      </w:pPr>
      <w:r w:rsidRPr="00A67AEE">
        <w:rPr>
          <w:rFonts w:ascii="Tahoma" w:hAnsi="Tahoma" w:cs="Tahoma"/>
          <w:sz w:val="20"/>
          <w:szCs w:val="20"/>
        </w:rPr>
        <w:t xml:space="preserve">En el caso materia de análisis, en atención al principio de “ Libertad Contractual” entendida esta como el Poder de los particulares para darse de por sí reglas en el campo de las relaciones económicas sociales, es que el Postor y BIOMEDICA establecieron respecto al servicio de dosimetría, que el pago no se realizaría al final del servicio, </w:t>
      </w:r>
      <w:r w:rsidRPr="00A67AEE">
        <w:rPr>
          <w:rFonts w:ascii="Tahoma" w:hAnsi="Tahoma" w:cs="Tahoma"/>
          <w:sz w:val="20"/>
          <w:szCs w:val="20"/>
          <w:u w:val="single"/>
        </w:rPr>
        <w:t>sino que se procedería a la cancelación del monto total del contrato en el mes de julio de 2010</w:t>
      </w:r>
      <w:r w:rsidRPr="00A67AEE">
        <w:rPr>
          <w:rFonts w:ascii="Tahoma" w:hAnsi="Tahoma" w:cs="Tahoma"/>
          <w:sz w:val="20"/>
          <w:szCs w:val="20"/>
        </w:rPr>
        <w:t>, situación que resulta totalmente válida en el ordenamiento jurídico que concede a las partes la posibilidad de autorregular su conducta, a fin de satisfacer sus intereses dignos de tutela ( a través del Contrato).</w:t>
      </w:r>
    </w:p>
    <w:p w:rsidR="00A67AEE" w:rsidRDefault="00A67AEE" w:rsidP="00A67AEE">
      <w:pPr>
        <w:pStyle w:val="Prrafodelista"/>
        <w:rPr>
          <w:rFonts w:ascii="Tahoma" w:hAnsi="Tahoma" w:cs="Tahoma"/>
          <w:sz w:val="20"/>
        </w:rPr>
      </w:pPr>
    </w:p>
    <w:p w:rsidR="00A67AEE" w:rsidRPr="00A67AEE" w:rsidRDefault="00A67AEE" w:rsidP="00A67AEE">
      <w:pPr>
        <w:numPr>
          <w:ilvl w:val="0"/>
          <w:numId w:val="10"/>
        </w:numPr>
        <w:spacing w:after="0" w:line="240" w:lineRule="auto"/>
        <w:jc w:val="both"/>
        <w:rPr>
          <w:rFonts w:ascii="Tahoma" w:hAnsi="Tahoma" w:cs="Tahoma"/>
          <w:sz w:val="20"/>
          <w:szCs w:val="20"/>
        </w:rPr>
      </w:pPr>
      <w:r w:rsidRPr="00A67AEE">
        <w:rPr>
          <w:rFonts w:ascii="Tahoma" w:hAnsi="Tahoma" w:cs="Tahoma"/>
          <w:sz w:val="20"/>
          <w:szCs w:val="20"/>
        </w:rPr>
        <w:t xml:space="preserve">No obstante lo señalado en el párrafo anterior, éste Colegiado, en busca de la </w:t>
      </w:r>
      <w:r w:rsidRPr="00A67AEE">
        <w:rPr>
          <w:rFonts w:ascii="Tahoma" w:hAnsi="Tahoma" w:cs="Tahoma"/>
          <w:i/>
          <w:iCs/>
          <w:sz w:val="20"/>
          <w:szCs w:val="20"/>
        </w:rPr>
        <w:t>verdad material previsto en el numeral 1.11 del artículo IV del Título Preliminar de la Ley 27444</w:t>
      </w:r>
      <w:r w:rsidRPr="00A67AEE">
        <w:rPr>
          <w:rFonts w:ascii="Tahoma" w:hAnsi="Tahoma" w:cs="Tahoma"/>
          <w:sz w:val="20"/>
          <w:szCs w:val="20"/>
        </w:rPr>
        <w:t>,  a fin verificar plenamente los hechos que sirven de motivo a sus decisiones, dispuso se requiera información adicional a la empresa  Biomédica, consistente en “</w:t>
      </w:r>
      <w:r w:rsidRPr="00A67AEE">
        <w:rPr>
          <w:rFonts w:ascii="Tahoma" w:hAnsi="Tahoma" w:cs="Tahoma"/>
          <w:b/>
          <w:bCs/>
          <w:sz w:val="20"/>
          <w:szCs w:val="20"/>
        </w:rPr>
        <w:t>precisar si la Factura Nº 001-000022 del 01 de julio de 2010, cuya copia se adjunta, fue emitida a su favor por el Consorcio Proxtronics del Pacífico S.A.C., y de ser el caso, dar su conformidad a la información consignada en dicho documento. Asimismo, se sirva indicar si dicha factura fue emitida como un pago anticipado derivado del contrato de fecha 01 de marzo de 2009, cuya copia se adjunta.”</w:t>
      </w:r>
    </w:p>
    <w:p w:rsidR="00A67AEE" w:rsidRDefault="00A67AEE" w:rsidP="00A67AEE">
      <w:pPr>
        <w:pStyle w:val="Prrafodelista"/>
        <w:rPr>
          <w:rFonts w:ascii="Tahoma" w:hAnsi="Tahoma" w:cs="Tahoma"/>
          <w:sz w:val="20"/>
        </w:rPr>
      </w:pPr>
    </w:p>
    <w:p w:rsidR="00A67AEE" w:rsidRDefault="00A67AEE" w:rsidP="00A67AEE">
      <w:pPr>
        <w:numPr>
          <w:ilvl w:val="0"/>
          <w:numId w:val="10"/>
        </w:numPr>
        <w:spacing w:after="0" w:line="240" w:lineRule="auto"/>
        <w:jc w:val="both"/>
        <w:rPr>
          <w:rFonts w:ascii="Tahoma" w:hAnsi="Tahoma" w:cs="Tahoma"/>
          <w:sz w:val="20"/>
          <w:szCs w:val="20"/>
        </w:rPr>
      </w:pPr>
      <w:r w:rsidRPr="00A67AEE">
        <w:rPr>
          <w:rFonts w:ascii="Tahoma" w:hAnsi="Tahoma" w:cs="Tahoma"/>
          <w:sz w:val="20"/>
          <w:szCs w:val="20"/>
        </w:rPr>
        <w:t>En atención a dicho requerimiento, la empresa Biomédica Electrónica ha informado lo siguiente “ (…) Que, la Factura Nº 001-000022 del 01 de julio de 2010 fue emitida a favor de mi empresa, habiendo realizado los pagos a la SUNAT, adjunto copia de la constancia de presentación, formulario IGV- Renta Mensual período 07-2011 y boleta de pago de impuestos. De otro lado, debo indicar que la mencionada factura nos fue emitida como pago anticipado del contrato de fecha 01 de marzo de 2009. (…)”</w:t>
      </w:r>
    </w:p>
    <w:p w:rsidR="00A67AEE" w:rsidRDefault="00A67AEE" w:rsidP="00A67AEE">
      <w:pPr>
        <w:pStyle w:val="Prrafodelista"/>
        <w:rPr>
          <w:rFonts w:ascii="Tahoma" w:hAnsi="Tahoma" w:cs="Tahoma"/>
          <w:sz w:val="20"/>
        </w:rPr>
      </w:pPr>
    </w:p>
    <w:p w:rsidR="00A67AEE" w:rsidRDefault="00A67AEE" w:rsidP="00A67AEE">
      <w:pPr>
        <w:numPr>
          <w:ilvl w:val="0"/>
          <w:numId w:val="10"/>
        </w:numPr>
        <w:spacing w:after="0" w:line="240" w:lineRule="auto"/>
        <w:jc w:val="both"/>
        <w:rPr>
          <w:rFonts w:ascii="Tahoma" w:hAnsi="Tahoma" w:cs="Tahoma"/>
          <w:sz w:val="20"/>
          <w:szCs w:val="20"/>
        </w:rPr>
      </w:pPr>
      <w:r w:rsidRPr="00A67AEE">
        <w:rPr>
          <w:rFonts w:ascii="Tahoma" w:hAnsi="Tahoma" w:cs="Tahoma"/>
          <w:sz w:val="20"/>
          <w:szCs w:val="20"/>
        </w:rPr>
        <w:t xml:space="preserve">De lo descrito con anterioridad, se puede concluir que la conducta del denunciado, respecto del documento cuestionado, no supone una trasgresión del </w:t>
      </w:r>
      <w:r w:rsidRPr="00A67AEE">
        <w:rPr>
          <w:rFonts w:ascii="Tahoma" w:hAnsi="Tahoma" w:cs="Tahoma"/>
          <w:i/>
          <w:iCs/>
          <w:sz w:val="20"/>
          <w:szCs w:val="20"/>
        </w:rPr>
        <w:t>principio de presunción de veracidad y moralidad</w:t>
      </w:r>
      <w:r w:rsidRPr="00A67AEE">
        <w:rPr>
          <w:rFonts w:ascii="Tahoma" w:hAnsi="Tahoma" w:cs="Tahoma"/>
          <w:sz w:val="20"/>
          <w:szCs w:val="20"/>
        </w:rPr>
        <w:t>, a que se contrae el numeral 2 de la presente Fundamentación, en vista que, si bien a través de dicho principio la Administración Pública se encuentra en el deber de presumir como veraces los documentos presentados por el administrado, esta situación ha quedado corroborada desde el momento en que se ha verificado que el comprobante de pago- Factura Nº 001-000022 - es verdadero y que el mismo obedece a la realidad de los hechos que ahí se declaran.</w:t>
      </w:r>
    </w:p>
    <w:p w:rsidR="00A67AEE" w:rsidRDefault="00A67AEE" w:rsidP="00A67AEE">
      <w:pPr>
        <w:pStyle w:val="Prrafodelista"/>
        <w:rPr>
          <w:rFonts w:ascii="Tahoma" w:hAnsi="Tahoma" w:cs="Tahoma"/>
          <w:sz w:val="20"/>
        </w:rPr>
      </w:pPr>
    </w:p>
    <w:p w:rsidR="00A67AEE" w:rsidRPr="00A67AEE" w:rsidRDefault="00A67AEE" w:rsidP="00A67AEE">
      <w:pPr>
        <w:numPr>
          <w:ilvl w:val="0"/>
          <w:numId w:val="10"/>
        </w:numPr>
        <w:spacing w:after="0" w:line="240" w:lineRule="auto"/>
        <w:jc w:val="both"/>
        <w:rPr>
          <w:rFonts w:ascii="Tahoma" w:hAnsi="Tahoma" w:cs="Tahoma"/>
          <w:sz w:val="20"/>
          <w:szCs w:val="20"/>
        </w:rPr>
      </w:pPr>
      <w:r w:rsidRPr="00A67AEE">
        <w:rPr>
          <w:rFonts w:ascii="Tahoma" w:hAnsi="Tahoma" w:cs="Tahoma"/>
          <w:sz w:val="20"/>
          <w:szCs w:val="20"/>
        </w:rPr>
        <w:t>Consecuentemente, al no calificar la conducta desarrollada por el Postor dentro del supuesto de hecho de la infracción tipificada en el numeral 1) literal i) del artículo 51 de la Ley y 237º del Reglamento, corresponde declarar no ha lugar la imposición de sanción al Consorcio Proxtronics del Pacífico S.A.C.</w:t>
      </w:r>
    </w:p>
    <w:p w:rsidR="00A67AEE" w:rsidRPr="00A67AEE" w:rsidRDefault="00A67AEE" w:rsidP="00A67AEE">
      <w:pPr>
        <w:spacing w:after="0" w:line="240" w:lineRule="auto"/>
        <w:ind w:firstLine="567"/>
        <w:jc w:val="both"/>
        <w:rPr>
          <w:rFonts w:ascii="Tahoma" w:hAnsi="Tahoma" w:cs="Tahoma"/>
          <w:sz w:val="20"/>
          <w:szCs w:val="20"/>
        </w:rPr>
      </w:pPr>
    </w:p>
    <w:p w:rsidR="00A67AEE" w:rsidRPr="00A67AEE" w:rsidRDefault="00A67AEE" w:rsidP="00A67AEE">
      <w:pPr>
        <w:spacing w:after="0" w:line="240" w:lineRule="auto"/>
        <w:ind w:left="-284" w:firstLine="360"/>
        <w:jc w:val="both"/>
        <w:rPr>
          <w:rFonts w:ascii="Tahoma" w:hAnsi="Tahoma" w:cs="Tahoma"/>
          <w:sz w:val="20"/>
          <w:szCs w:val="20"/>
        </w:rPr>
      </w:pPr>
      <w:r w:rsidRPr="00A67AEE">
        <w:rPr>
          <w:rFonts w:ascii="Tahoma" w:hAnsi="Tahoma" w:cs="Tahoma"/>
          <w:sz w:val="20"/>
          <w:szCs w:val="20"/>
        </w:rPr>
        <w:lastRenderedPageBreak/>
        <w:t>Por estos fundamentos, de conformidad con el informe del Vocal Ponente Dra. Janette Elke Ramírez Maynetto, y la intervención de los Vocales Dr. Carlos Navas Rondón y Dra. Ada Basulto Liewald, y 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A67AEE" w:rsidRPr="00A67AEE" w:rsidRDefault="00A67AEE" w:rsidP="00A67AEE">
      <w:pPr>
        <w:spacing w:after="0" w:line="240" w:lineRule="auto"/>
        <w:jc w:val="both"/>
        <w:rPr>
          <w:rFonts w:ascii="Tahoma" w:hAnsi="Tahoma" w:cs="Tahoma"/>
          <w:sz w:val="20"/>
          <w:szCs w:val="20"/>
        </w:rPr>
      </w:pPr>
    </w:p>
    <w:p w:rsidR="00A67AEE" w:rsidRPr="00A67AEE" w:rsidRDefault="00A67AEE" w:rsidP="00A67AEE">
      <w:pPr>
        <w:spacing w:after="0" w:line="240" w:lineRule="auto"/>
        <w:ind w:right="-315"/>
        <w:jc w:val="both"/>
        <w:rPr>
          <w:rFonts w:ascii="Tahoma" w:hAnsi="Tahoma" w:cs="Tahoma"/>
          <w:b/>
          <w:sz w:val="20"/>
          <w:szCs w:val="20"/>
        </w:rPr>
      </w:pPr>
      <w:r w:rsidRPr="00A67AEE">
        <w:rPr>
          <w:rFonts w:ascii="Tahoma" w:hAnsi="Tahoma" w:cs="Tahoma"/>
          <w:b/>
          <w:sz w:val="20"/>
          <w:szCs w:val="20"/>
        </w:rPr>
        <w:t>LA SALA RESUELVE:</w:t>
      </w:r>
    </w:p>
    <w:p w:rsidR="00A67AEE" w:rsidRPr="00A67AEE" w:rsidRDefault="00A67AEE" w:rsidP="00A67AEE">
      <w:pPr>
        <w:spacing w:after="0" w:line="240" w:lineRule="auto"/>
        <w:ind w:left="567"/>
        <w:jc w:val="both"/>
        <w:rPr>
          <w:rFonts w:ascii="Tahoma" w:hAnsi="Tahoma" w:cs="Tahoma"/>
          <w:sz w:val="20"/>
          <w:szCs w:val="20"/>
        </w:rPr>
      </w:pPr>
    </w:p>
    <w:p w:rsidR="00A67AEE" w:rsidRPr="00A67AEE" w:rsidRDefault="00A67AEE" w:rsidP="00A67AEE">
      <w:pPr>
        <w:numPr>
          <w:ilvl w:val="0"/>
          <w:numId w:val="11"/>
        </w:numPr>
        <w:spacing w:after="0" w:line="240" w:lineRule="auto"/>
        <w:jc w:val="both"/>
        <w:rPr>
          <w:rFonts w:ascii="Tahoma" w:hAnsi="Tahoma" w:cs="Tahoma"/>
          <w:sz w:val="20"/>
          <w:szCs w:val="20"/>
        </w:rPr>
      </w:pPr>
      <w:r w:rsidRPr="00A67AEE">
        <w:rPr>
          <w:rFonts w:ascii="Tahoma" w:hAnsi="Tahoma" w:cs="Tahoma"/>
          <w:sz w:val="20"/>
          <w:szCs w:val="20"/>
          <w:lang w:val="es-PE"/>
        </w:rPr>
        <w:t xml:space="preserve">Declarar No ha lugar a la imposición de sanción a la empresa </w:t>
      </w:r>
      <w:r w:rsidRPr="00A67AEE">
        <w:rPr>
          <w:rFonts w:ascii="Tahoma" w:hAnsi="Tahoma" w:cs="Tahoma"/>
          <w:sz w:val="20"/>
          <w:szCs w:val="20"/>
        </w:rPr>
        <w:t>CONSORCIO PROXTRONICS DEL PACIFICO S.A.C., por su presunta responsabilidad en la comisión de la infracción tipificada en el numeral 1) literal i) del artículo 51 de la Ley y 237º del Reglamento de la Ley de Contrataciones del Estado; por los fundamentos expuestos.</w:t>
      </w:r>
    </w:p>
    <w:p w:rsidR="00A67AEE" w:rsidRPr="00A67AEE" w:rsidRDefault="00A67AEE" w:rsidP="00A67AEE">
      <w:pPr>
        <w:pStyle w:val="Ttulo3"/>
        <w:spacing w:line="240" w:lineRule="auto"/>
        <w:jc w:val="both"/>
        <w:rPr>
          <w:rFonts w:ascii="Tahoma" w:hAnsi="Tahoma" w:cs="Tahoma"/>
          <w:b w:val="0"/>
          <w:bCs w:val="0"/>
          <w:sz w:val="20"/>
          <w:szCs w:val="20"/>
        </w:rPr>
      </w:pPr>
      <w:r w:rsidRPr="00A67AEE">
        <w:rPr>
          <w:rFonts w:ascii="Tahoma" w:hAnsi="Tahoma" w:cs="Tahoma"/>
          <w:b w:val="0"/>
          <w:sz w:val="20"/>
          <w:szCs w:val="20"/>
        </w:rPr>
        <w:t>Regístrese, comuníquese y publíquese.</w:t>
      </w:r>
    </w:p>
    <w:p w:rsidR="00A67AEE" w:rsidRPr="00A67AEE" w:rsidRDefault="00A67AEE" w:rsidP="00A67AEE">
      <w:pPr>
        <w:spacing w:after="0" w:line="240" w:lineRule="auto"/>
        <w:jc w:val="both"/>
        <w:rPr>
          <w:rFonts w:ascii="Tahoma" w:hAnsi="Tahoma" w:cs="Tahoma"/>
          <w:b/>
          <w:shadow/>
          <w:sz w:val="20"/>
          <w:szCs w:val="20"/>
        </w:rPr>
      </w:pPr>
    </w:p>
    <w:p w:rsidR="00A67AEE" w:rsidRDefault="00A67AEE" w:rsidP="00A67AEE">
      <w:pPr>
        <w:spacing w:after="0" w:line="240" w:lineRule="auto"/>
        <w:jc w:val="both"/>
        <w:rPr>
          <w:rFonts w:ascii="Tahoma" w:hAnsi="Tahoma" w:cs="Tahoma"/>
          <w:b/>
          <w:shadow/>
          <w:sz w:val="20"/>
          <w:szCs w:val="20"/>
        </w:rPr>
      </w:pPr>
    </w:p>
    <w:p w:rsidR="00F46784" w:rsidRDefault="00F46784" w:rsidP="00A67AEE">
      <w:pPr>
        <w:spacing w:after="0" w:line="240" w:lineRule="auto"/>
        <w:jc w:val="both"/>
        <w:rPr>
          <w:rFonts w:ascii="Tahoma" w:hAnsi="Tahoma" w:cs="Tahoma"/>
          <w:b/>
          <w:shadow/>
          <w:sz w:val="20"/>
          <w:szCs w:val="20"/>
        </w:rPr>
      </w:pPr>
    </w:p>
    <w:p w:rsidR="00F46784" w:rsidRDefault="00F46784" w:rsidP="00A67AEE">
      <w:pPr>
        <w:spacing w:after="0" w:line="240" w:lineRule="auto"/>
        <w:jc w:val="both"/>
        <w:rPr>
          <w:rFonts w:ascii="Tahoma" w:hAnsi="Tahoma" w:cs="Tahoma"/>
          <w:b/>
          <w:shadow/>
          <w:sz w:val="20"/>
          <w:szCs w:val="20"/>
        </w:rPr>
      </w:pPr>
    </w:p>
    <w:p w:rsidR="00F46784" w:rsidRPr="00A67AEE" w:rsidRDefault="00F46784" w:rsidP="00A67AEE">
      <w:pPr>
        <w:spacing w:after="0" w:line="240" w:lineRule="auto"/>
        <w:jc w:val="both"/>
        <w:rPr>
          <w:rFonts w:ascii="Tahoma" w:hAnsi="Tahoma" w:cs="Tahoma"/>
          <w:b/>
          <w:shadow/>
          <w:sz w:val="20"/>
          <w:szCs w:val="20"/>
        </w:rPr>
      </w:pPr>
    </w:p>
    <w:p w:rsidR="00A67AEE" w:rsidRPr="00A67AEE" w:rsidRDefault="00A67AEE" w:rsidP="00A67AEE">
      <w:pPr>
        <w:spacing w:after="0" w:line="240" w:lineRule="auto"/>
        <w:jc w:val="both"/>
        <w:rPr>
          <w:rFonts w:ascii="Tahoma" w:hAnsi="Tahoma" w:cs="Tahoma"/>
          <w:b/>
          <w:shadow/>
          <w:sz w:val="20"/>
          <w:szCs w:val="20"/>
        </w:rPr>
      </w:pPr>
    </w:p>
    <w:p w:rsidR="00A67AEE" w:rsidRPr="00A67AEE" w:rsidRDefault="00A67AEE" w:rsidP="00A67AEE">
      <w:pPr>
        <w:spacing w:after="0" w:line="240" w:lineRule="auto"/>
        <w:ind w:left="2832" w:firstLine="708"/>
        <w:jc w:val="both"/>
        <w:rPr>
          <w:rFonts w:ascii="Tahoma" w:hAnsi="Tahoma" w:cs="Tahoma"/>
          <w:b/>
          <w:shadow/>
          <w:sz w:val="20"/>
          <w:szCs w:val="20"/>
        </w:rPr>
      </w:pPr>
      <w:r w:rsidRPr="00A67AEE">
        <w:rPr>
          <w:rFonts w:ascii="Tahoma" w:hAnsi="Tahoma" w:cs="Tahoma"/>
          <w:b/>
          <w:shadow/>
          <w:sz w:val="20"/>
          <w:szCs w:val="20"/>
        </w:rPr>
        <w:t>PRESIDENTE</w:t>
      </w:r>
    </w:p>
    <w:p w:rsidR="00A67AEE" w:rsidRPr="00A67AEE" w:rsidRDefault="00A67AEE" w:rsidP="00A67AEE">
      <w:pPr>
        <w:spacing w:after="0" w:line="240" w:lineRule="auto"/>
        <w:jc w:val="both"/>
        <w:rPr>
          <w:rFonts w:ascii="Tahoma" w:hAnsi="Tahoma" w:cs="Tahoma"/>
          <w:b/>
          <w:shadow/>
          <w:sz w:val="20"/>
          <w:szCs w:val="20"/>
        </w:rPr>
      </w:pPr>
    </w:p>
    <w:p w:rsidR="00A67AEE" w:rsidRPr="00A67AEE" w:rsidRDefault="00A67AEE" w:rsidP="00A67AEE">
      <w:pPr>
        <w:spacing w:after="0" w:line="240" w:lineRule="auto"/>
        <w:jc w:val="both"/>
        <w:rPr>
          <w:rFonts w:ascii="Tahoma" w:hAnsi="Tahoma" w:cs="Tahoma"/>
          <w:b/>
          <w:shadow/>
          <w:sz w:val="20"/>
          <w:szCs w:val="20"/>
        </w:rPr>
      </w:pPr>
    </w:p>
    <w:p w:rsidR="00A67AEE" w:rsidRDefault="00A67AEE" w:rsidP="00A67AEE">
      <w:pPr>
        <w:spacing w:after="0" w:line="240" w:lineRule="auto"/>
        <w:jc w:val="both"/>
        <w:rPr>
          <w:rFonts w:ascii="Tahoma" w:hAnsi="Tahoma" w:cs="Tahoma"/>
          <w:b/>
          <w:shadow/>
          <w:sz w:val="20"/>
          <w:szCs w:val="20"/>
        </w:rPr>
      </w:pPr>
    </w:p>
    <w:p w:rsidR="00F46784" w:rsidRPr="00A67AEE" w:rsidRDefault="00F46784" w:rsidP="00A67AEE">
      <w:pPr>
        <w:spacing w:after="0" w:line="240" w:lineRule="auto"/>
        <w:jc w:val="both"/>
        <w:rPr>
          <w:rFonts w:ascii="Tahoma" w:hAnsi="Tahoma" w:cs="Tahoma"/>
          <w:b/>
          <w:shadow/>
          <w:sz w:val="20"/>
          <w:szCs w:val="20"/>
        </w:rPr>
      </w:pPr>
    </w:p>
    <w:p w:rsidR="00A67AEE" w:rsidRPr="00A67AEE" w:rsidRDefault="00A67AEE" w:rsidP="00A67AEE">
      <w:pPr>
        <w:spacing w:after="0" w:line="240" w:lineRule="auto"/>
        <w:jc w:val="both"/>
        <w:rPr>
          <w:rFonts w:ascii="Tahoma" w:hAnsi="Tahoma" w:cs="Tahoma"/>
          <w:b/>
          <w:shadow/>
          <w:sz w:val="20"/>
          <w:szCs w:val="20"/>
        </w:rPr>
      </w:pPr>
    </w:p>
    <w:p w:rsidR="00A67AEE" w:rsidRPr="00A67AEE" w:rsidRDefault="00A67AEE" w:rsidP="00A67AEE">
      <w:pPr>
        <w:spacing w:after="0" w:line="240" w:lineRule="auto"/>
        <w:jc w:val="both"/>
        <w:rPr>
          <w:rFonts w:ascii="Tahoma" w:hAnsi="Tahoma" w:cs="Tahoma"/>
          <w:shadow/>
          <w:sz w:val="20"/>
          <w:szCs w:val="20"/>
        </w:rPr>
      </w:pPr>
      <w:r w:rsidRPr="00A67AEE">
        <w:rPr>
          <w:rFonts w:ascii="Tahoma" w:hAnsi="Tahoma" w:cs="Tahoma"/>
          <w:b/>
          <w:shadow/>
          <w:sz w:val="20"/>
          <w:szCs w:val="20"/>
        </w:rPr>
        <w:t xml:space="preserve">                  VOCAL</w:t>
      </w:r>
      <w:r w:rsidRPr="00A67AEE">
        <w:rPr>
          <w:rFonts w:ascii="Tahoma" w:hAnsi="Tahoma" w:cs="Tahoma"/>
          <w:b/>
          <w:shadow/>
          <w:sz w:val="20"/>
          <w:szCs w:val="20"/>
        </w:rPr>
        <w:tab/>
      </w:r>
      <w:r w:rsidRPr="00A67AEE">
        <w:rPr>
          <w:rFonts w:ascii="Tahoma" w:hAnsi="Tahoma" w:cs="Tahoma"/>
          <w:b/>
          <w:shadow/>
          <w:sz w:val="20"/>
          <w:szCs w:val="20"/>
        </w:rPr>
        <w:tab/>
      </w:r>
      <w:r w:rsidRPr="00A67AEE">
        <w:rPr>
          <w:rFonts w:ascii="Tahoma" w:hAnsi="Tahoma" w:cs="Tahoma"/>
          <w:b/>
          <w:shadow/>
          <w:sz w:val="20"/>
          <w:szCs w:val="20"/>
        </w:rPr>
        <w:tab/>
      </w:r>
      <w:r w:rsidRPr="00A67AEE">
        <w:rPr>
          <w:rFonts w:ascii="Tahoma" w:hAnsi="Tahoma" w:cs="Tahoma"/>
          <w:b/>
          <w:shadow/>
          <w:sz w:val="20"/>
          <w:szCs w:val="20"/>
        </w:rPr>
        <w:tab/>
      </w:r>
      <w:r w:rsidRPr="00A67AEE">
        <w:rPr>
          <w:rFonts w:ascii="Tahoma" w:hAnsi="Tahoma" w:cs="Tahoma"/>
          <w:b/>
          <w:shadow/>
          <w:sz w:val="20"/>
          <w:szCs w:val="20"/>
        </w:rPr>
        <w:tab/>
      </w:r>
      <w:r w:rsidRPr="00A67AEE">
        <w:rPr>
          <w:rFonts w:ascii="Tahoma" w:hAnsi="Tahoma" w:cs="Tahoma"/>
          <w:b/>
          <w:shadow/>
          <w:sz w:val="20"/>
          <w:szCs w:val="20"/>
        </w:rPr>
        <w:tab/>
      </w:r>
      <w:r w:rsidRPr="00A67AEE">
        <w:rPr>
          <w:rFonts w:ascii="Tahoma" w:hAnsi="Tahoma" w:cs="Tahoma"/>
          <w:b/>
          <w:shadow/>
          <w:sz w:val="20"/>
          <w:szCs w:val="20"/>
        </w:rPr>
        <w:tab/>
      </w:r>
      <w:r w:rsidRPr="00A67AEE">
        <w:rPr>
          <w:rFonts w:ascii="Tahoma" w:hAnsi="Tahoma" w:cs="Tahoma"/>
          <w:b/>
          <w:shadow/>
          <w:sz w:val="20"/>
          <w:szCs w:val="20"/>
        </w:rPr>
        <w:tab/>
        <w:t xml:space="preserve">VOCAL                                                                 </w:t>
      </w:r>
    </w:p>
    <w:p w:rsidR="00A67AEE" w:rsidRPr="00A67AEE" w:rsidRDefault="00A67AEE" w:rsidP="00A67AEE">
      <w:pPr>
        <w:spacing w:after="0" w:line="240" w:lineRule="auto"/>
        <w:jc w:val="both"/>
        <w:rPr>
          <w:rFonts w:ascii="Tahoma" w:hAnsi="Tahoma" w:cs="Tahoma"/>
          <w:sz w:val="20"/>
          <w:szCs w:val="20"/>
        </w:rPr>
      </w:pPr>
    </w:p>
    <w:p w:rsidR="00A67AEE" w:rsidRDefault="00A67AEE" w:rsidP="00A67AEE">
      <w:pPr>
        <w:spacing w:after="0" w:line="240" w:lineRule="auto"/>
        <w:jc w:val="both"/>
        <w:rPr>
          <w:rFonts w:ascii="Tahoma" w:hAnsi="Tahoma" w:cs="Tahoma"/>
          <w:sz w:val="20"/>
          <w:szCs w:val="20"/>
        </w:rPr>
      </w:pPr>
    </w:p>
    <w:p w:rsidR="00F46784" w:rsidRDefault="00F46784" w:rsidP="00A67AEE">
      <w:pPr>
        <w:spacing w:after="0" w:line="240" w:lineRule="auto"/>
        <w:jc w:val="both"/>
        <w:rPr>
          <w:rFonts w:ascii="Tahoma" w:hAnsi="Tahoma" w:cs="Tahoma"/>
          <w:sz w:val="20"/>
          <w:szCs w:val="20"/>
        </w:rPr>
      </w:pPr>
    </w:p>
    <w:p w:rsidR="00F46784" w:rsidRDefault="00F46784" w:rsidP="00A67AEE">
      <w:pPr>
        <w:spacing w:after="0" w:line="240" w:lineRule="auto"/>
        <w:jc w:val="both"/>
        <w:rPr>
          <w:rFonts w:ascii="Tahoma" w:hAnsi="Tahoma" w:cs="Tahoma"/>
          <w:sz w:val="20"/>
          <w:szCs w:val="20"/>
        </w:rPr>
      </w:pPr>
    </w:p>
    <w:p w:rsidR="00F46784" w:rsidRDefault="00F46784" w:rsidP="00A67AEE">
      <w:pPr>
        <w:spacing w:after="0" w:line="240" w:lineRule="auto"/>
        <w:jc w:val="both"/>
        <w:rPr>
          <w:rFonts w:ascii="Tahoma" w:hAnsi="Tahoma" w:cs="Tahoma"/>
          <w:sz w:val="20"/>
          <w:szCs w:val="20"/>
        </w:rPr>
      </w:pPr>
    </w:p>
    <w:p w:rsidR="00A67AEE" w:rsidRDefault="00A67AEE" w:rsidP="00A67AEE">
      <w:pPr>
        <w:spacing w:after="0" w:line="240" w:lineRule="auto"/>
        <w:jc w:val="both"/>
        <w:rPr>
          <w:rFonts w:ascii="Tahoma" w:hAnsi="Tahoma" w:cs="Tahoma"/>
          <w:sz w:val="20"/>
          <w:szCs w:val="20"/>
        </w:rPr>
      </w:pPr>
    </w:p>
    <w:p w:rsidR="00A67AEE" w:rsidRPr="00A67AEE" w:rsidRDefault="00A67AEE" w:rsidP="00A67AEE">
      <w:pPr>
        <w:spacing w:after="0" w:line="240" w:lineRule="auto"/>
        <w:jc w:val="both"/>
        <w:rPr>
          <w:rFonts w:ascii="Tahoma" w:hAnsi="Tahoma" w:cs="Tahoma"/>
          <w:sz w:val="20"/>
          <w:szCs w:val="20"/>
        </w:rPr>
      </w:pPr>
    </w:p>
    <w:p w:rsidR="00A67AEE" w:rsidRPr="00A67AEE" w:rsidRDefault="00A67AEE" w:rsidP="00A67AEE">
      <w:pPr>
        <w:spacing w:after="0" w:line="240" w:lineRule="auto"/>
        <w:jc w:val="both"/>
        <w:rPr>
          <w:rFonts w:ascii="Tahoma" w:hAnsi="Tahoma" w:cs="Tahoma"/>
          <w:sz w:val="18"/>
          <w:szCs w:val="18"/>
        </w:rPr>
      </w:pPr>
      <w:r w:rsidRPr="00A67AEE">
        <w:rPr>
          <w:rFonts w:ascii="Tahoma" w:hAnsi="Tahoma" w:cs="Tahoma"/>
          <w:sz w:val="18"/>
          <w:szCs w:val="18"/>
        </w:rPr>
        <w:t>ss.</w:t>
      </w:r>
    </w:p>
    <w:p w:rsidR="00A67AEE" w:rsidRPr="00A67AEE" w:rsidRDefault="00A67AEE" w:rsidP="00A67AEE">
      <w:pPr>
        <w:spacing w:after="0" w:line="240" w:lineRule="auto"/>
        <w:jc w:val="both"/>
        <w:rPr>
          <w:rFonts w:ascii="Tahoma" w:hAnsi="Tahoma" w:cs="Tahoma"/>
          <w:sz w:val="18"/>
          <w:szCs w:val="18"/>
        </w:rPr>
      </w:pPr>
      <w:r w:rsidRPr="00A67AEE">
        <w:rPr>
          <w:rFonts w:ascii="Tahoma" w:hAnsi="Tahoma" w:cs="Tahoma"/>
          <w:sz w:val="18"/>
          <w:szCs w:val="18"/>
        </w:rPr>
        <w:t>Navas Rondón,</w:t>
      </w:r>
    </w:p>
    <w:p w:rsidR="00A67AEE" w:rsidRPr="00A67AEE" w:rsidRDefault="00A67AEE" w:rsidP="00A67AEE">
      <w:pPr>
        <w:spacing w:after="0" w:line="240" w:lineRule="auto"/>
        <w:jc w:val="both"/>
        <w:rPr>
          <w:rFonts w:ascii="Tahoma" w:hAnsi="Tahoma" w:cs="Tahoma"/>
          <w:sz w:val="18"/>
          <w:szCs w:val="18"/>
        </w:rPr>
      </w:pPr>
      <w:r w:rsidRPr="00A67AEE">
        <w:rPr>
          <w:rFonts w:ascii="Tahoma" w:hAnsi="Tahoma" w:cs="Tahoma"/>
          <w:sz w:val="18"/>
          <w:szCs w:val="18"/>
        </w:rPr>
        <w:t>Ramírez Maynetto,</w:t>
      </w:r>
    </w:p>
    <w:p w:rsidR="00A67AEE" w:rsidRPr="00A67AEE" w:rsidRDefault="00A67AEE" w:rsidP="00A67AEE">
      <w:pPr>
        <w:spacing w:after="0" w:line="240" w:lineRule="auto"/>
        <w:jc w:val="both"/>
        <w:rPr>
          <w:rFonts w:ascii="Tahoma" w:hAnsi="Tahoma" w:cs="Tahoma"/>
          <w:sz w:val="18"/>
          <w:szCs w:val="18"/>
        </w:rPr>
      </w:pPr>
      <w:r w:rsidRPr="00A67AEE">
        <w:rPr>
          <w:rFonts w:ascii="Tahoma" w:hAnsi="Tahoma" w:cs="Tahoma"/>
          <w:sz w:val="18"/>
          <w:szCs w:val="18"/>
        </w:rPr>
        <w:t>Basulto Liewald.</w:t>
      </w:r>
    </w:p>
    <w:p w:rsidR="00260F0B" w:rsidRPr="00A67AEE" w:rsidRDefault="00B255C0" w:rsidP="00A67AEE">
      <w:pPr>
        <w:spacing w:line="240" w:lineRule="auto"/>
        <w:rPr>
          <w:rFonts w:ascii="Tahoma" w:hAnsi="Tahoma" w:cs="Tahoma"/>
          <w:sz w:val="18"/>
          <w:szCs w:val="18"/>
        </w:rPr>
      </w:pPr>
    </w:p>
    <w:sectPr w:rsidR="00260F0B" w:rsidRPr="00A67AEE" w:rsidSect="006B3EE7">
      <w:headerReference w:type="default" r:id="rId8"/>
      <w:footerReference w:type="default" r:id="rId9"/>
      <w:pgSz w:w="11906" w:h="16838"/>
      <w:pgMar w:top="2836" w:right="1416" w:bottom="1418" w:left="184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55C0" w:rsidRDefault="00B255C0" w:rsidP="00A67AEE">
      <w:pPr>
        <w:spacing w:after="0" w:line="240" w:lineRule="auto"/>
      </w:pPr>
      <w:r>
        <w:separator/>
      </w:r>
    </w:p>
  </w:endnote>
  <w:endnote w:type="continuationSeparator" w:id="1">
    <w:p w:rsidR="00B255C0" w:rsidRDefault="00B255C0" w:rsidP="00A67A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10E" w:rsidRPr="00FD5A0C" w:rsidRDefault="003D0329">
    <w:pPr>
      <w:pStyle w:val="Piedepgina"/>
      <w:jc w:val="center"/>
      <w:rPr>
        <w:rFonts w:ascii="Tahoma" w:hAnsi="Tahoma" w:cs="Tahoma"/>
        <w:i/>
        <w:sz w:val="18"/>
        <w:szCs w:val="18"/>
      </w:rPr>
    </w:pPr>
    <w:r w:rsidRPr="00FD5A0C">
      <w:rPr>
        <w:rFonts w:ascii="Tahoma" w:hAnsi="Tahoma" w:cs="Tahoma"/>
        <w:i/>
        <w:sz w:val="18"/>
        <w:szCs w:val="18"/>
      </w:rPr>
      <w:t xml:space="preserve">Página </w:t>
    </w:r>
    <w:r w:rsidR="00E83842" w:rsidRPr="00FD5A0C">
      <w:rPr>
        <w:rFonts w:ascii="Tahoma" w:hAnsi="Tahoma" w:cs="Tahoma"/>
        <w:i/>
        <w:sz w:val="18"/>
        <w:szCs w:val="18"/>
      </w:rPr>
      <w:fldChar w:fldCharType="begin"/>
    </w:r>
    <w:r w:rsidRPr="00FD5A0C">
      <w:rPr>
        <w:rFonts w:ascii="Tahoma" w:hAnsi="Tahoma" w:cs="Tahoma"/>
        <w:i/>
        <w:sz w:val="18"/>
        <w:szCs w:val="18"/>
      </w:rPr>
      <w:instrText>PAGE</w:instrText>
    </w:r>
    <w:r w:rsidR="00E83842" w:rsidRPr="00FD5A0C">
      <w:rPr>
        <w:rFonts w:ascii="Tahoma" w:hAnsi="Tahoma" w:cs="Tahoma"/>
        <w:i/>
        <w:sz w:val="18"/>
        <w:szCs w:val="18"/>
      </w:rPr>
      <w:fldChar w:fldCharType="separate"/>
    </w:r>
    <w:r w:rsidR="00075B0C">
      <w:rPr>
        <w:rFonts w:ascii="Tahoma" w:hAnsi="Tahoma" w:cs="Tahoma"/>
        <w:i/>
        <w:noProof/>
        <w:sz w:val="18"/>
        <w:szCs w:val="18"/>
      </w:rPr>
      <w:t>1</w:t>
    </w:r>
    <w:r w:rsidR="00E83842" w:rsidRPr="00FD5A0C">
      <w:rPr>
        <w:rFonts w:ascii="Tahoma" w:hAnsi="Tahoma" w:cs="Tahoma"/>
        <w:i/>
        <w:sz w:val="18"/>
        <w:szCs w:val="18"/>
      </w:rPr>
      <w:fldChar w:fldCharType="end"/>
    </w:r>
    <w:r w:rsidRPr="00FD5A0C">
      <w:rPr>
        <w:rFonts w:ascii="Tahoma" w:hAnsi="Tahoma" w:cs="Tahoma"/>
        <w:i/>
        <w:sz w:val="18"/>
        <w:szCs w:val="18"/>
      </w:rPr>
      <w:t xml:space="preserve"> de </w:t>
    </w:r>
    <w:r w:rsidR="00E83842" w:rsidRPr="00FD5A0C">
      <w:rPr>
        <w:rFonts w:ascii="Tahoma" w:hAnsi="Tahoma" w:cs="Tahoma"/>
        <w:i/>
        <w:sz w:val="18"/>
        <w:szCs w:val="18"/>
      </w:rPr>
      <w:fldChar w:fldCharType="begin"/>
    </w:r>
    <w:r w:rsidRPr="00FD5A0C">
      <w:rPr>
        <w:rFonts w:ascii="Tahoma" w:hAnsi="Tahoma" w:cs="Tahoma"/>
        <w:i/>
        <w:sz w:val="18"/>
        <w:szCs w:val="18"/>
      </w:rPr>
      <w:instrText>NUMPAGES</w:instrText>
    </w:r>
    <w:r w:rsidR="00E83842" w:rsidRPr="00FD5A0C">
      <w:rPr>
        <w:rFonts w:ascii="Tahoma" w:hAnsi="Tahoma" w:cs="Tahoma"/>
        <w:i/>
        <w:sz w:val="18"/>
        <w:szCs w:val="18"/>
      </w:rPr>
      <w:fldChar w:fldCharType="separate"/>
    </w:r>
    <w:r w:rsidR="00075B0C">
      <w:rPr>
        <w:rFonts w:ascii="Tahoma" w:hAnsi="Tahoma" w:cs="Tahoma"/>
        <w:i/>
        <w:noProof/>
        <w:sz w:val="18"/>
        <w:szCs w:val="18"/>
      </w:rPr>
      <w:t>7</w:t>
    </w:r>
    <w:r w:rsidR="00E83842" w:rsidRPr="00FD5A0C">
      <w:rPr>
        <w:rFonts w:ascii="Tahoma" w:hAnsi="Tahoma" w:cs="Tahoma"/>
        <w:i/>
        <w:sz w:val="18"/>
        <w:szCs w:val="18"/>
      </w:rPr>
      <w:fldChar w:fldCharType="end"/>
    </w:r>
  </w:p>
  <w:p w:rsidR="003A110E" w:rsidRDefault="00B255C0">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55C0" w:rsidRDefault="00B255C0" w:rsidP="00A67AEE">
      <w:pPr>
        <w:spacing w:after="0" w:line="240" w:lineRule="auto"/>
      </w:pPr>
      <w:r>
        <w:separator/>
      </w:r>
    </w:p>
  </w:footnote>
  <w:footnote w:type="continuationSeparator" w:id="1">
    <w:p w:rsidR="00B255C0" w:rsidRDefault="00B255C0" w:rsidP="00A67AEE">
      <w:pPr>
        <w:spacing w:after="0" w:line="240" w:lineRule="auto"/>
      </w:pPr>
      <w:r>
        <w:continuationSeparator/>
      </w:r>
    </w:p>
  </w:footnote>
  <w:footnote w:id="2">
    <w:p w:rsidR="00A67AEE" w:rsidRPr="0040213E" w:rsidRDefault="00A67AEE" w:rsidP="00A67AEE">
      <w:pPr>
        <w:pStyle w:val="Textonotapie"/>
        <w:rPr>
          <w:i/>
          <w:iCs/>
          <w:sz w:val="18"/>
          <w:szCs w:val="18"/>
        </w:rPr>
      </w:pPr>
      <w:r w:rsidRPr="0040213E">
        <w:rPr>
          <w:rStyle w:val="Refdenotaalpie"/>
          <w:i/>
          <w:iCs/>
          <w:sz w:val="18"/>
          <w:szCs w:val="18"/>
        </w:rPr>
        <w:footnoteRef/>
      </w:r>
      <w:r w:rsidRPr="0040213E">
        <w:rPr>
          <w:i/>
          <w:iCs/>
          <w:sz w:val="18"/>
          <w:szCs w:val="18"/>
        </w:rPr>
        <w:t xml:space="preserve"> Aprobada por Decreto Legislativo Nº 1017.</w:t>
      </w:r>
    </w:p>
    <w:p w:rsidR="00A67AEE" w:rsidRDefault="00A67AEE" w:rsidP="00A67AEE">
      <w:pPr>
        <w:pStyle w:val="Textonotapie"/>
      </w:pPr>
    </w:p>
  </w:footnote>
  <w:footnote w:id="3">
    <w:p w:rsidR="00A67AEE" w:rsidRPr="0040213E" w:rsidRDefault="00A67AEE" w:rsidP="00A67AEE">
      <w:pPr>
        <w:pStyle w:val="Textonotapie"/>
        <w:rPr>
          <w:i/>
          <w:iCs/>
          <w:sz w:val="18"/>
          <w:szCs w:val="18"/>
        </w:rPr>
      </w:pPr>
      <w:r w:rsidRPr="0040213E">
        <w:rPr>
          <w:rStyle w:val="Refdenotaalpie"/>
          <w:i/>
          <w:iCs/>
          <w:sz w:val="18"/>
          <w:szCs w:val="18"/>
        </w:rPr>
        <w:footnoteRef/>
      </w:r>
      <w:r w:rsidRPr="0040213E">
        <w:rPr>
          <w:i/>
          <w:iCs/>
          <w:sz w:val="18"/>
          <w:szCs w:val="18"/>
        </w:rPr>
        <w:t xml:space="preserve"> Aprobada por </w:t>
      </w:r>
      <w:r>
        <w:rPr>
          <w:i/>
          <w:iCs/>
          <w:sz w:val="18"/>
          <w:szCs w:val="18"/>
        </w:rPr>
        <w:t xml:space="preserve">Decreto Supremo </w:t>
      </w:r>
      <w:r w:rsidRPr="0040213E">
        <w:rPr>
          <w:i/>
          <w:iCs/>
          <w:sz w:val="18"/>
          <w:szCs w:val="18"/>
        </w:rPr>
        <w:t xml:space="preserve"> Nº</w:t>
      </w:r>
      <w:r>
        <w:rPr>
          <w:i/>
          <w:iCs/>
          <w:sz w:val="18"/>
          <w:szCs w:val="18"/>
        </w:rPr>
        <w:t xml:space="preserve"> 184-2008-EF.</w:t>
      </w:r>
      <w:r w:rsidRPr="0040213E">
        <w:rPr>
          <w:i/>
          <w:iCs/>
          <w:sz w:val="18"/>
          <w:szCs w:val="18"/>
        </w:rPr>
        <w:t>.</w:t>
      </w:r>
    </w:p>
    <w:p w:rsidR="00A67AEE" w:rsidRDefault="00A67AEE" w:rsidP="00A67AEE">
      <w:pPr>
        <w:pStyle w:val="Textonotapie"/>
      </w:pPr>
    </w:p>
  </w:footnote>
  <w:footnote w:id="4">
    <w:p w:rsidR="00A67AEE" w:rsidRPr="0040213E" w:rsidRDefault="00A67AEE" w:rsidP="00A67AEE">
      <w:pPr>
        <w:pStyle w:val="Textonotapie"/>
        <w:rPr>
          <w:i/>
          <w:iCs/>
          <w:sz w:val="18"/>
          <w:szCs w:val="18"/>
        </w:rPr>
      </w:pPr>
      <w:r w:rsidRPr="0040213E">
        <w:rPr>
          <w:rStyle w:val="Refdenotaalpie"/>
          <w:b/>
          <w:bCs/>
          <w:i/>
          <w:iCs/>
          <w:sz w:val="18"/>
          <w:szCs w:val="18"/>
        </w:rPr>
        <w:footnoteRef/>
      </w:r>
      <w:r w:rsidRPr="0040213E">
        <w:rPr>
          <w:i/>
          <w:iCs/>
          <w:sz w:val="18"/>
          <w:szCs w:val="18"/>
        </w:rPr>
        <w:t xml:space="preserve"> </w:t>
      </w:r>
      <w:r w:rsidRPr="0040213E">
        <w:rPr>
          <w:b/>
          <w:bCs/>
          <w:i/>
          <w:iCs/>
          <w:sz w:val="18"/>
          <w:szCs w:val="18"/>
        </w:rPr>
        <w:t>El Principio de Presunción de Veracidad</w:t>
      </w:r>
      <w:r w:rsidRPr="0040213E">
        <w:rPr>
          <w:i/>
          <w:iCs/>
          <w:sz w:val="18"/>
          <w:szCs w:val="18"/>
        </w:rPr>
        <w:t xml:space="preserve"> consiste en “el deber de suponer – por adelantado y con carácter provisorio – que los administrados proceden con verdad en sus actuaciones en el procedimiento que intervengan (rige tanto las relaciones de la Administración Pública con sus agentes como con el público). Sustituye la tradicional duda o escepticismo de la autoridad sobre los administrados”. MORÓN URBINA, Juan Carlos. </w:t>
      </w:r>
      <w:r w:rsidRPr="0040213E">
        <w:rPr>
          <w:b/>
          <w:bCs/>
          <w:i/>
          <w:iCs/>
          <w:sz w:val="18"/>
          <w:szCs w:val="18"/>
        </w:rPr>
        <w:t>Comentarios a la Ley del Procedimiento Administrativo General</w:t>
      </w:r>
      <w:r w:rsidRPr="0040213E">
        <w:rPr>
          <w:i/>
          <w:iCs/>
          <w:sz w:val="18"/>
          <w:szCs w:val="18"/>
        </w:rPr>
        <w:t>. Cuarta Edición. Lima: Gaceta Jurídica, 2005; pp. 74 -75.</w:t>
      </w:r>
    </w:p>
    <w:p w:rsidR="00A67AEE" w:rsidRDefault="00A67AEE" w:rsidP="00A67AEE">
      <w:pPr>
        <w:pStyle w:val="Textonotapie"/>
      </w:pPr>
    </w:p>
  </w:footnote>
  <w:footnote w:id="5">
    <w:p w:rsidR="00A67AEE" w:rsidRDefault="00A67AEE" w:rsidP="00A67AEE">
      <w:pPr>
        <w:pStyle w:val="Textonotapie"/>
      </w:pPr>
      <w:r>
        <w:rPr>
          <w:rStyle w:val="Refdenotaalpie"/>
        </w:rPr>
        <w:footnoteRef/>
      </w:r>
      <w:r>
        <w:t xml:space="preserve"> Documento obrante a fojas 088 del expediente administrativo.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B0C" w:rsidRDefault="00075B0C" w:rsidP="00075B0C">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075B0C" w:rsidRDefault="00075B0C" w:rsidP="00075B0C">
    <w:pPr>
      <w:pStyle w:val="Encabezado"/>
      <w:rPr>
        <w:noProof/>
      </w:rPr>
    </w:pPr>
  </w:p>
  <w:p w:rsidR="00075B0C" w:rsidRDefault="00075B0C" w:rsidP="00075B0C">
    <w:pPr>
      <w:pStyle w:val="Encabezado"/>
      <w:rPr>
        <w:noProof/>
      </w:rPr>
    </w:pPr>
  </w:p>
  <w:p w:rsidR="00075B0C" w:rsidRDefault="00075B0C" w:rsidP="00075B0C">
    <w:pPr>
      <w:pStyle w:val="Encabezado"/>
      <w:rPr>
        <w:noProof/>
      </w:rPr>
    </w:pPr>
  </w:p>
  <w:p w:rsidR="00075B0C" w:rsidRDefault="00075B0C" w:rsidP="00075B0C">
    <w:pPr>
      <w:pStyle w:val="Encabezado"/>
      <w:jc w:val="center"/>
    </w:pPr>
    <w:r>
      <w:rPr>
        <w:rFonts w:ascii="Monotype Corsiva" w:hAnsi="Monotype Corsiva"/>
        <w:b/>
        <w:sz w:val="44"/>
        <w:szCs w:val="44"/>
      </w:rPr>
      <w:t xml:space="preserve">Resolución Nº   </w:t>
    </w:r>
    <w:r>
      <w:rPr>
        <w:rFonts w:ascii="Tahoma" w:hAnsi="Tahoma" w:cs="Tahoma"/>
        <w:b/>
        <w:sz w:val="44"/>
        <w:szCs w:val="44"/>
      </w:rPr>
      <w:t>959-2011-TC-S1</w:t>
    </w:r>
  </w:p>
  <w:p w:rsidR="00075B0C" w:rsidRDefault="00075B0C">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9661A"/>
    <w:multiLevelType w:val="hybridMultilevel"/>
    <w:tmpl w:val="28442342"/>
    <w:lvl w:ilvl="0" w:tplc="05107F02">
      <w:start w:val="1"/>
      <w:numFmt w:val="decimal"/>
      <w:lvlText w:val="%1."/>
      <w:lvlJc w:val="left"/>
      <w:pPr>
        <w:tabs>
          <w:tab w:val="num" w:pos="454"/>
        </w:tabs>
        <w:ind w:left="454" w:hanging="454"/>
      </w:pPr>
      <w:rPr>
        <w:rFonts w:ascii="Tahoma" w:hAnsi="Tahoma" w:hint="default"/>
        <w:b/>
        <w:bCs/>
        <w:i w:val="0"/>
        <w:iCs w:val="0"/>
        <w:outline w:val="0"/>
        <w:shadow/>
        <w:emboss w:val="0"/>
        <w:imprint w:val="0"/>
        <w:color w:val="auto"/>
        <w:sz w:val="20"/>
        <w:szCs w:val="20"/>
        <w:effect w:val="none"/>
      </w:rPr>
    </w:lvl>
    <w:lvl w:ilvl="1" w:tplc="5BA68C46">
      <w:start w:val="1"/>
      <w:numFmt w:val="lowerRoman"/>
      <w:lvlText w:val="(%2)"/>
      <w:lvlJc w:val="left"/>
      <w:pPr>
        <w:tabs>
          <w:tab w:val="num" w:pos="1800"/>
        </w:tabs>
        <w:ind w:left="1800" w:hanging="720"/>
      </w:pPr>
      <w:rPr>
        <w:b/>
        <w:bCs/>
      </w:rPr>
    </w:lvl>
    <w:lvl w:ilvl="2" w:tplc="91224666">
      <w:start w:val="1"/>
      <w:numFmt w:val="lowerRoman"/>
      <w:lvlText w:val="%3."/>
      <w:lvlJc w:val="left"/>
      <w:pPr>
        <w:tabs>
          <w:tab w:val="num" w:pos="1800"/>
        </w:tabs>
        <w:ind w:left="1800" w:hanging="720"/>
      </w:pPr>
      <w:rPr>
        <w:b/>
        <w:bCs/>
      </w:rPr>
    </w:lvl>
    <w:lvl w:ilvl="3" w:tplc="E034C060">
      <w:start w:val="1"/>
      <w:numFmt w:val="lowerLetter"/>
      <w:lvlText w:val="%4."/>
      <w:lvlJc w:val="left"/>
      <w:pPr>
        <w:tabs>
          <w:tab w:val="num" w:pos="2880"/>
        </w:tabs>
        <w:ind w:left="2880" w:hanging="360"/>
      </w:pPr>
      <w:rPr>
        <w:b/>
        <w:bCs/>
      </w:r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1A654C9E"/>
    <w:multiLevelType w:val="hybridMultilevel"/>
    <w:tmpl w:val="D7F680A0"/>
    <w:lvl w:ilvl="0" w:tplc="08A602CE">
      <w:start w:val="1"/>
      <w:numFmt w:val="decimal"/>
      <w:lvlText w:val="%1."/>
      <w:lvlJc w:val="left"/>
      <w:pPr>
        <w:tabs>
          <w:tab w:val="num" w:pos="360"/>
        </w:tabs>
        <w:ind w:left="360" w:hanging="360"/>
      </w:pPr>
      <w:rPr>
        <w:rFonts w:ascii="Tahoma" w:hAnsi="Tahoma" w:cs="Tahoma" w:hint="default"/>
        <w:b/>
        <w:bCs/>
        <w:i w:val="0"/>
        <w:iCs w:val="0"/>
        <w:sz w:val="20"/>
        <w:szCs w:val="20"/>
      </w:rPr>
    </w:lvl>
    <w:lvl w:ilvl="1" w:tplc="0C0A0019">
      <w:start w:val="1"/>
      <w:numFmt w:val="lowerLetter"/>
      <w:lvlText w:val="%2."/>
      <w:lvlJc w:val="left"/>
      <w:pPr>
        <w:tabs>
          <w:tab w:val="num" w:pos="360"/>
        </w:tabs>
        <w:ind w:left="360" w:hanging="360"/>
      </w:pPr>
    </w:lvl>
    <w:lvl w:ilvl="2" w:tplc="0C0A001B">
      <w:start w:val="1"/>
      <w:numFmt w:val="lowerRoman"/>
      <w:lvlText w:val="%3."/>
      <w:lvlJc w:val="right"/>
      <w:pPr>
        <w:tabs>
          <w:tab w:val="num" w:pos="1080"/>
        </w:tabs>
        <w:ind w:left="1080" w:hanging="180"/>
      </w:pPr>
    </w:lvl>
    <w:lvl w:ilvl="3" w:tplc="0C0A000F">
      <w:start w:val="1"/>
      <w:numFmt w:val="decimal"/>
      <w:lvlText w:val="%4."/>
      <w:lvlJc w:val="left"/>
      <w:pPr>
        <w:tabs>
          <w:tab w:val="num" w:pos="1800"/>
        </w:tabs>
        <w:ind w:left="1800" w:hanging="360"/>
      </w:pPr>
    </w:lvl>
    <w:lvl w:ilvl="4" w:tplc="0C0A0019">
      <w:start w:val="1"/>
      <w:numFmt w:val="lowerLetter"/>
      <w:lvlText w:val="%5."/>
      <w:lvlJc w:val="left"/>
      <w:pPr>
        <w:tabs>
          <w:tab w:val="num" w:pos="2520"/>
        </w:tabs>
        <w:ind w:left="2520" w:hanging="360"/>
      </w:pPr>
    </w:lvl>
    <w:lvl w:ilvl="5" w:tplc="0C0A001B">
      <w:start w:val="1"/>
      <w:numFmt w:val="lowerRoman"/>
      <w:lvlText w:val="%6."/>
      <w:lvlJc w:val="right"/>
      <w:pPr>
        <w:tabs>
          <w:tab w:val="num" w:pos="3240"/>
        </w:tabs>
        <w:ind w:left="3240" w:hanging="180"/>
      </w:pPr>
    </w:lvl>
    <w:lvl w:ilvl="6" w:tplc="0C0A000F">
      <w:start w:val="1"/>
      <w:numFmt w:val="decimal"/>
      <w:lvlText w:val="%7."/>
      <w:lvlJc w:val="left"/>
      <w:pPr>
        <w:tabs>
          <w:tab w:val="num" w:pos="3960"/>
        </w:tabs>
        <w:ind w:left="3960" w:hanging="360"/>
      </w:pPr>
    </w:lvl>
    <w:lvl w:ilvl="7" w:tplc="0C0A0019">
      <w:start w:val="1"/>
      <w:numFmt w:val="lowerLetter"/>
      <w:lvlText w:val="%8."/>
      <w:lvlJc w:val="left"/>
      <w:pPr>
        <w:tabs>
          <w:tab w:val="num" w:pos="4680"/>
        </w:tabs>
        <w:ind w:left="4680" w:hanging="360"/>
      </w:pPr>
    </w:lvl>
    <w:lvl w:ilvl="8" w:tplc="0C0A001B">
      <w:start w:val="1"/>
      <w:numFmt w:val="lowerRoman"/>
      <w:lvlText w:val="%9."/>
      <w:lvlJc w:val="right"/>
      <w:pPr>
        <w:tabs>
          <w:tab w:val="num" w:pos="5400"/>
        </w:tabs>
        <w:ind w:left="5400" w:hanging="180"/>
      </w:pPr>
    </w:lvl>
  </w:abstractNum>
  <w:abstractNum w:abstractNumId="2">
    <w:nsid w:val="2A604CF2"/>
    <w:multiLevelType w:val="hybridMultilevel"/>
    <w:tmpl w:val="505C682E"/>
    <w:lvl w:ilvl="0" w:tplc="36582308">
      <w:start w:val="1"/>
      <w:numFmt w:val="decimal"/>
      <w:lvlText w:val="%1)"/>
      <w:lvlJc w:val="left"/>
      <w:pPr>
        <w:tabs>
          <w:tab w:val="num" w:pos="360"/>
        </w:tabs>
        <w:ind w:left="360" w:hanging="360"/>
      </w:pPr>
      <w:rPr>
        <w:rFonts w:hint="default"/>
      </w:rPr>
    </w:lvl>
    <w:lvl w:ilvl="1" w:tplc="0C0A0019">
      <w:start w:val="1"/>
      <w:numFmt w:val="lowerLetter"/>
      <w:lvlText w:val="%2."/>
      <w:lvlJc w:val="left"/>
      <w:pPr>
        <w:tabs>
          <w:tab w:val="num" w:pos="1080"/>
        </w:tabs>
        <w:ind w:left="1080" w:hanging="360"/>
      </w:pPr>
    </w:lvl>
    <w:lvl w:ilvl="2" w:tplc="0C0A001B">
      <w:start w:val="1"/>
      <w:numFmt w:val="lowerRoman"/>
      <w:lvlText w:val="%3."/>
      <w:lvlJc w:val="right"/>
      <w:pPr>
        <w:tabs>
          <w:tab w:val="num" w:pos="1800"/>
        </w:tabs>
        <w:ind w:left="1800" w:hanging="180"/>
      </w:pPr>
    </w:lvl>
    <w:lvl w:ilvl="3" w:tplc="0C0A000F">
      <w:start w:val="1"/>
      <w:numFmt w:val="decimal"/>
      <w:lvlText w:val="%4."/>
      <w:lvlJc w:val="left"/>
      <w:pPr>
        <w:tabs>
          <w:tab w:val="num" w:pos="2520"/>
        </w:tabs>
        <w:ind w:left="2520" w:hanging="360"/>
      </w:pPr>
    </w:lvl>
    <w:lvl w:ilvl="4" w:tplc="0C0A0019">
      <w:start w:val="1"/>
      <w:numFmt w:val="lowerLetter"/>
      <w:lvlText w:val="%5."/>
      <w:lvlJc w:val="left"/>
      <w:pPr>
        <w:tabs>
          <w:tab w:val="num" w:pos="3240"/>
        </w:tabs>
        <w:ind w:left="3240" w:hanging="360"/>
      </w:pPr>
    </w:lvl>
    <w:lvl w:ilvl="5" w:tplc="0C0A001B">
      <w:start w:val="1"/>
      <w:numFmt w:val="lowerRoman"/>
      <w:lvlText w:val="%6."/>
      <w:lvlJc w:val="right"/>
      <w:pPr>
        <w:tabs>
          <w:tab w:val="num" w:pos="3960"/>
        </w:tabs>
        <w:ind w:left="3960" w:hanging="180"/>
      </w:pPr>
    </w:lvl>
    <w:lvl w:ilvl="6" w:tplc="0C0A000F">
      <w:start w:val="1"/>
      <w:numFmt w:val="decimal"/>
      <w:lvlText w:val="%7."/>
      <w:lvlJc w:val="left"/>
      <w:pPr>
        <w:tabs>
          <w:tab w:val="num" w:pos="4680"/>
        </w:tabs>
        <w:ind w:left="4680" w:hanging="360"/>
      </w:pPr>
    </w:lvl>
    <w:lvl w:ilvl="7" w:tplc="0C0A0019">
      <w:start w:val="1"/>
      <w:numFmt w:val="lowerLetter"/>
      <w:lvlText w:val="%8."/>
      <w:lvlJc w:val="left"/>
      <w:pPr>
        <w:tabs>
          <w:tab w:val="num" w:pos="5400"/>
        </w:tabs>
        <w:ind w:left="5400" w:hanging="360"/>
      </w:pPr>
    </w:lvl>
    <w:lvl w:ilvl="8" w:tplc="0C0A001B">
      <w:start w:val="1"/>
      <w:numFmt w:val="lowerRoman"/>
      <w:lvlText w:val="%9."/>
      <w:lvlJc w:val="right"/>
      <w:pPr>
        <w:tabs>
          <w:tab w:val="num" w:pos="6120"/>
        </w:tabs>
        <w:ind w:left="6120" w:hanging="180"/>
      </w:pPr>
    </w:lvl>
  </w:abstractNum>
  <w:abstractNum w:abstractNumId="3">
    <w:nsid w:val="32466705"/>
    <w:multiLevelType w:val="multilevel"/>
    <w:tmpl w:val="33B89EA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376B5313"/>
    <w:multiLevelType w:val="hybridMultilevel"/>
    <w:tmpl w:val="7B0281FC"/>
    <w:lvl w:ilvl="0" w:tplc="0C0A001B">
      <w:start w:val="1"/>
      <w:numFmt w:val="lowerRoman"/>
      <w:lvlText w:val="%1."/>
      <w:lvlJc w:val="righ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5">
    <w:nsid w:val="3C2B7E5B"/>
    <w:multiLevelType w:val="hybridMultilevel"/>
    <w:tmpl w:val="9BD26628"/>
    <w:lvl w:ilvl="0" w:tplc="0C0A0019">
      <w:start w:val="1"/>
      <w:numFmt w:val="lowerLetter"/>
      <w:lvlText w:val="%1."/>
      <w:lvlJc w:val="lef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abstractNum w:abstractNumId="6">
    <w:nsid w:val="482A3B48"/>
    <w:multiLevelType w:val="hybridMultilevel"/>
    <w:tmpl w:val="D4C66138"/>
    <w:lvl w:ilvl="0" w:tplc="0C0A0001">
      <w:start w:val="1"/>
      <w:numFmt w:val="bullet"/>
      <w:lvlText w:val=""/>
      <w:lvlJc w:val="left"/>
      <w:pPr>
        <w:ind w:left="1440" w:hanging="360"/>
      </w:pPr>
      <w:rPr>
        <w:rFonts w:ascii="Symbol" w:hAnsi="Symbol" w:cs="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7">
    <w:nsid w:val="5B3E1F50"/>
    <w:multiLevelType w:val="hybridMultilevel"/>
    <w:tmpl w:val="D00A945A"/>
    <w:lvl w:ilvl="0" w:tplc="8EA03CE0">
      <w:start w:val="1"/>
      <w:numFmt w:val="decimal"/>
      <w:lvlText w:val="%1."/>
      <w:lvlJc w:val="right"/>
      <w:pPr>
        <w:ind w:left="720" w:hanging="360"/>
      </w:pPr>
      <w:rPr>
        <w:rFonts w:ascii="Tahoma" w:hAnsi="Tahoma" w:cs="Tahoma" w:hint="default"/>
        <w:b/>
        <w:bCs/>
        <w:i w:val="0"/>
        <w:iCs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8">
    <w:nsid w:val="5E787690"/>
    <w:multiLevelType w:val="hybridMultilevel"/>
    <w:tmpl w:val="A4D62C46"/>
    <w:lvl w:ilvl="0" w:tplc="0C0A0019">
      <w:start w:val="1"/>
      <w:numFmt w:val="lowerLetter"/>
      <w:lvlText w:val="%1."/>
      <w:lvlJc w:val="lef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abstractNum w:abstractNumId="9">
    <w:nsid w:val="60AB42CA"/>
    <w:multiLevelType w:val="hybridMultilevel"/>
    <w:tmpl w:val="EAFC767E"/>
    <w:lvl w:ilvl="0" w:tplc="8EA03CE0">
      <w:start w:val="1"/>
      <w:numFmt w:val="decimal"/>
      <w:lvlText w:val="%1."/>
      <w:lvlJc w:val="right"/>
      <w:pPr>
        <w:ind w:left="720" w:hanging="360"/>
      </w:pPr>
      <w:rPr>
        <w:rFonts w:ascii="Tahoma" w:hAnsi="Tahoma" w:cs="Tahoma" w:hint="default"/>
        <w:b/>
        <w:bCs/>
        <w:i w:val="0"/>
        <w:iCs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8"/>
  </w:num>
  <w:num w:numId="9">
    <w:abstractNumId w:val="5"/>
  </w:num>
  <w:num w:numId="10">
    <w:abstractNumId w:val="7"/>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A67AEE"/>
    <w:rsid w:val="00075B0C"/>
    <w:rsid w:val="00075C68"/>
    <w:rsid w:val="003D0329"/>
    <w:rsid w:val="0066645E"/>
    <w:rsid w:val="006A690F"/>
    <w:rsid w:val="0096071E"/>
    <w:rsid w:val="00A67AEE"/>
    <w:rsid w:val="00B255C0"/>
    <w:rsid w:val="00B32DD0"/>
    <w:rsid w:val="00E83842"/>
    <w:rsid w:val="00F4678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7AEE"/>
    <w:rPr>
      <w:rFonts w:ascii="Calibri" w:eastAsia="Calibri" w:hAnsi="Calibri" w:cs="Times New Roman"/>
    </w:rPr>
  </w:style>
  <w:style w:type="paragraph" w:styleId="Ttulo2">
    <w:name w:val="heading 2"/>
    <w:basedOn w:val="Normal"/>
    <w:next w:val="Normal"/>
    <w:link w:val="Ttulo2Car"/>
    <w:qFormat/>
    <w:rsid w:val="00A67AEE"/>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A67AEE"/>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A67AEE"/>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A67AEE"/>
    <w:rPr>
      <w:rFonts w:ascii="Arial" w:eastAsia="Calibri" w:hAnsi="Arial" w:cs="Arial"/>
      <w:b/>
      <w:bCs/>
      <w:sz w:val="26"/>
      <w:szCs w:val="26"/>
    </w:rPr>
  </w:style>
  <w:style w:type="paragraph" w:styleId="Textoindependiente3">
    <w:name w:val="Body Text 3"/>
    <w:basedOn w:val="Normal"/>
    <w:link w:val="Textoindependiente3Car"/>
    <w:semiHidden/>
    <w:unhideWhenUsed/>
    <w:rsid w:val="00A67AEE"/>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A67AEE"/>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A67AEE"/>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A67AEE"/>
    <w:pPr>
      <w:tabs>
        <w:tab w:val="center" w:pos="4252"/>
        <w:tab w:val="right" w:pos="8504"/>
      </w:tabs>
    </w:pPr>
  </w:style>
  <w:style w:type="character" w:customStyle="1" w:styleId="PiedepginaCar">
    <w:name w:val="Pie de página Car"/>
    <w:basedOn w:val="Fuentedeprrafopredeter"/>
    <w:link w:val="Piedepgina"/>
    <w:uiPriority w:val="99"/>
    <w:rsid w:val="00A67AEE"/>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Texto nota pie1 Car Car"/>
    <w:basedOn w:val="Normal"/>
    <w:link w:val="TextonotapieCar"/>
    <w:uiPriority w:val="99"/>
    <w:rsid w:val="00A67AEE"/>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uiPriority w:val="99"/>
    <w:rsid w:val="00A67AEE"/>
    <w:rPr>
      <w:rFonts w:ascii="Tahoma" w:eastAsia="Calibri" w:hAnsi="Tahoma" w:cs="Tahoma"/>
      <w:sz w:val="20"/>
      <w:szCs w:val="20"/>
    </w:rPr>
  </w:style>
  <w:style w:type="character" w:styleId="Refdenotaalpie">
    <w:name w:val="footnote reference"/>
    <w:basedOn w:val="Fuentedeprrafopredeter"/>
    <w:uiPriority w:val="99"/>
    <w:semiHidden/>
    <w:rsid w:val="00A67AEE"/>
    <w:rPr>
      <w:vertAlign w:val="superscript"/>
    </w:rPr>
  </w:style>
  <w:style w:type="paragraph" w:styleId="Textoindependiente">
    <w:name w:val="Body Text"/>
    <w:basedOn w:val="Normal"/>
    <w:link w:val="TextoindependienteCar"/>
    <w:uiPriority w:val="99"/>
    <w:semiHidden/>
    <w:unhideWhenUsed/>
    <w:rsid w:val="00A67AEE"/>
    <w:pPr>
      <w:spacing w:after="120"/>
    </w:pPr>
  </w:style>
  <w:style w:type="character" w:customStyle="1" w:styleId="TextoindependienteCar">
    <w:name w:val="Texto independiente Car"/>
    <w:basedOn w:val="Fuentedeprrafopredeter"/>
    <w:link w:val="Textoindependiente"/>
    <w:uiPriority w:val="99"/>
    <w:semiHidden/>
    <w:rsid w:val="00A67AEE"/>
    <w:rPr>
      <w:rFonts w:ascii="Calibri" w:eastAsia="Calibri" w:hAnsi="Calibri" w:cs="Times New Roman"/>
    </w:rPr>
  </w:style>
  <w:style w:type="paragraph" w:styleId="Encabezado">
    <w:name w:val="header"/>
    <w:aliases w:val="maria,h"/>
    <w:basedOn w:val="Normal"/>
    <w:link w:val="EncabezadoCar"/>
    <w:uiPriority w:val="99"/>
    <w:semiHidden/>
    <w:unhideWhenUsed/>
    <w:rsid w:val="00075B0C"/>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075B0C"/>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54540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849F2-2876-4ECD-9E12-D06A7B246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2990</Words>
  <Characters>16449</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4</cp:revision>
  <cp:lastPrinted>2011-05-31T20:08:00Z</cp:lastPrinted>
  <dcterms:created xsi:type="dcterms:W3CDTF">2011-05-31T18:04:00Z</dcterms:created>
  <dcterms:modified xsi:type="dcterms:W3CDTF">2011-06-22T14:39:00Z</dcterms:modified>
</cp:coreProperties>
</file>